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B3" w:rsidRPr="00897468"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79011F" w:rsidRDefault="00385AB3" w:rsidP="008C17B5">
      <w:pPr>
        <w:pStyle w:val="BodyText22"/>
        <w:suppressAutoHyphens/>
        <w:jc w:val="center"/>
        <w:rPr>
          <w:b w:val="0"/>
          <w:sz w:val="20"/>
          <w:szCs w:val="21"/>
        </w:rPr>
      </w:pPr>
      <w:r w:rsidRPr="0079011F">
        <w:rPr>
          <w:b w:val="0"/>
          <w:sz w:val="20"/>
          <w:szCs w:val="21"/>
        </w:rPr>
        <w:t xml:space="preserve">uzavřená podle </w:t>
      </w:r>
      <w:proofErr w:type="spellStart"/>
      <w:r w:rsidR="00416D7B">
        <w:rPr>
          <w:b w:val="0"/>
          <w:sz w:val="20"/>
          <w:szCs w:val="21"/>
        </w:rPr>
        <w:t>ust</w:t>
      </w:r>
      <w:proofErr w:type="spellEnd"/>
      <w:r w:rsidR="00416D7B">
        <w:rPr>
          <w:b w:val="0"/>
          <w:sz w:val="20"/>
          <w:szCs w:val="21"/>
        </w:rPr>
        <w:t xml:space="preserve">. </w:t>
      </w:r>
      <w:r w:rsidRPr="0079011F">
        <w:rPr>
          <w:b w:val="0"/>
          <w:sz w:val="20"/>
          <w:szCs w:val="21"/>
        </w:rPr>
        <w:t xml:space="preserve">§ </w:t>
      </w:r>
      <w:r w:rsidR="004B2E25" w:rsidRPr="0079011F">
        <w:rPr>
          <w:b w:val="0"/>
          <w:sz w:val="20"/>
          <w:szCs w:val="21"/>
        </w:rPr>
        <w:t>2</w:t>
      </w:r>
      <w:r w:rsidRPr="0079011F">
        <w:rPr>
          <w:b w:val="0"/>
          <w:sz w:val="20"/>
          <w:szCs w:val="21"/>
        </w:rPr>
        <w:t>5</w:t>
      </w:r>
      <w:r w:rsidR="004B2E25" w:rsidRPr="0079011F">
        <w:rPr>
          <w:b w:val="0"/>
          <w:sz w:val="20"/>
          <w:szCs w:val="21"/>
        </w:rPr>
        <w:t>8</w:t>
      </w:r>
      <w:r w:rsidRPr="0079011F">
        <w:rPr>
          <w:b w:val="0"/>
          <w:sz w:val="20"/>
          <w:szCs w:val="21"/>
        </w:rPr>
        <w:t xml:space="preserve">6 a násl. zákona č. </w:t>
      </w:r>
      <w:r w:rsidR="004B2E25" w:rsidRPr="0079011F">
        <w:rPr>
          <w:b w:val="0"/>
          <w:sz w:val="20"/>
          <w:szCs w:val="21"/>
        </w:rPr>
        <w:t>89</w:t>
      </w:r>
      <w:r w:rsidRPr="0079011F">
        <w:rPr>
          <w:b w:val="0"/>
          <w:sz w:val="20"/>
          <w:szCs w:val="21"/>
        </w:rPr>
        <w:t>/</w:t>
      </w:r>
      <w:r w:rsidR="004B2E25" w:rsidRPr="0079011F">
        <w:rPr>
          <w:b w:val="0"/>
          <w:sz w:val="20"/>
          <w:szCs w:val="21"/>
        </w:rPr>
        <w:t>2012</w:t>
      </w:r>
      <w:r w:rsidRPr="0079011F">
        <w:rPr>
          <w:b w:val="0"/>
          <w:sz w:val="20"/>
          <w:szCs w:val="21"/>
        </w:rPr>
        <w:t xml:space="preserve"> Sb.,</w:t>
      </w:r>
      <w:r w:rsidR="00A72A66" w:rsidRPr="0079011F">
        <w:rPr>
          <w:b w:val="0"/>
          <w:sz w:val="20"/>
          <w:szCs w:val="21"/>
        </w:rPr>
        <w:t xml:space="preserve"> </w:t>
      </w:r>
      <w:r w:rsidRPr="0079011F">
        <w:rPr>
          <w:b w:val="0"/>
          <w:sz w:val="20"/>
          <w:szCs w:val="21"/>
        </w:rPr>
        <w:t>ob</w:t>
      </w:r>
      <w:r w:rsidR="004B2E25" w:rsidRPr="0079011F">
        <w:rPr>
          <w:b w:val="0"/>
          <w:sz w:val="20"/>
          <w:szCs w:val="21"/>
        </w:rPr>
        <w:t>čanské</w:t>
      </w:r>
      <w:r w:rsidRPr="0079011F">
        <w:rPr>
          <w:b w:val="0"/>
          <w:sz w:val="20"/>
          <w:szCs w:val="21"/>
        </w:rPr>
        <w:t>ho zákoníku, v platném znění</w:t>
      </w:r>
    </w:p>
    <w:p w:rsidR="007145E7" w:rsidRPr="008753D6" w:rsidRDefault="007145E7" w:rsidP="008C17B5">
      <w:pPr>
        <w:pStyle w:val="BodyText22"/>
        <w:suppressAutoHyphens/>
        <w:jc w:val="center"/>
        <w:rPr>
          <w:b w:val="0"/>
          <w:i/>
          <w:sz w:val="20"/>
          <w:szCs w:val="21"/>
        </w:rPr>
      </w:pPr>
      <w:r w:rsidRPr="0079011F">
        <w:rPr>
          <w:b w:val="0"/>
          <w:sz w:val="20"/>
          <w:szCs w:val="21"/>
        </w:rPr>
        <w:t xml:space="preserve">(dále </w:t>
      </w:r>
      <w:r w:rsidR="0079011F" w:rsidRPr="0079011F">
        <w:rPr>
          <w:b w:val="0"/>
          <w:sz w:val="20"/>
          <w:szCs w:val="21"/>
        </w:rPr>
        <w:t>jen</w:t>
      </w:r>
      <w:r w:rsidRPr="008753D6">
        <w:rPr>
          <w:b w:val="0"/>
          <w:i/>
          <w:sz w:val="20"/>
          <w:szCs w:val="21"/>
        </w:rPr>
        <w:t xml:space="preserve"> </w:t>
      </w:r>
      <w:r w:rsidRPr="0079011F">
        <w:rPr>
          <w:b w:val="0"/>
          <w:sz w:val="20"/>
          <w:szCs w:val="21"/>
        </w:rPr>
        <w:t>„Smlouva</w:t>
      </w:r>
      <w:r w:rsidR="0079011F">
        <w:rPr>
          <w:b w:val="0"/>
          <w:i/>
          <w:sz w:val="20"/>
          <w:szCs w:val="21"/>
        </w:rPr>
        <w:t>“</w:t>
      </w:r>
      <w:r w:rsidRPr="008753D6">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/201</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5E2A93" w:rsidRPr="009667FC" w:rsidRDefault="002E5058" w:rsidP="00B13D05">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9667FC" w:rsidRPr="00E67E0B">
        <w:rPr>
          <w:rFonts w:ascii="Arial" w:hAnsi="Arial" w:cs="Arial"/>
          <w:b/>
          <w:color w:val="000000"/>
          <w:sz w:val="20"/>
          <w:szCs w:val="21"/>
        </w:rPr>
        <w:t>5213520066</w:t>
      </w:r>
    </w:p>
    <w:p w:rsidR="00B13D05" w:rsidRPr="00FC6698" w:rsidRDefault="00B13D05" w:rsidP="00B13D05">
      <w:pPr>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B51580" w:rsidRPr="00FC6698">
        <w:rPr>
          <w:rFonts w:ascii="Arial" w:eastAsia="Calibri" w:hAnsi="Arial" w:cs="Arial"/>
          <w:b/>
          <w:iCs/>
          <w:sz w:val="20"/>
          <w:szCs w:val="21"/>
          <w:lang w:eastAsia="en-US"/>
        </w:rPr>
        <w:t xml:space="preserve">  na </w:t>
      </w:r>
      <w:r w:rsidR="00B51580" w:rsidRPr="00FC6698">
        <w:rPr>
          <w:rFonts w:ascii="Arial" w:hAnsi="Arial" w:cs="Arial"/>
          <w:b/>
          <w:sz w:val="20"/>
          <w:szCs w:val="21"/>
        </w:rPr>
        <w:t>zaj</w:t>
      </w:r>
      <w:r w:rsidR="00305A5D">
        <w:rPr>
          <w:rFonts w:ascii="Arial" w:hAnsi="Arial" w:cs="Arial"/>
          <w:b/>
          <w:sz w:val="20"/>
          <w:szCs w:val="21"/>
        </w:rPr>
        <w:t>ištění geotechnické kontrolní činnosti při realizaci stavby</w:t>
      </w:r>
      <w:r w:rsidR="009F4713" w:rsidRPr="00FC6698">
        <w:rPr>
          <w:rFonts w:ascii="Arial" w:eastAsia="Calibri" w:hAnsi="Arial" w:cs="Arial"/>
          <w:b/>
          <w:iCs/>
          <w:sz w:val="20"/>
          <w:szCs w:val="21"/>
          <w:lang w:eastAsia="en-US"/>
        </w:rPr>
        <w:t xml:space="preserve"> </w:t>
      </w:r>
    </w:p>
    <w:p w:rsidR="00B51580" w:rsidRPr="00FC6698" w:rsidRDefault="00305A5D" w:rsidP="00B51580">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305A5D">
        <w:rPr>
          <w:rFonts w:ascii="Arial" w:hAnsi="Arial" w:cs="Arial"/>
          <w:b/>
          <w:sz w:val="26"/>
          <w:szCs w:val="26"/>
        </w:rPr>
        <w:t>„Sanace nestabilních náspů zemního tělesa v úseku Hájek - Dalovice“</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E54557" w:rsidRDefault="00F42E5E" w:rsidP="00F42E5E">
      <w:pPr>
        <w:spacing w:after="60"/>
        <w:ind w:left="567"/>
        <w:rPr>
          <w:rFonts w:ascii="Arial" w:hAnsi="Arial" w:cs="Arial"/>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8753D6">
        <w:rPr>
          <w:rFonts w:ascii="Arial" w:hAnsi="Arial" w:cs="Arial"/>
          <w:bCs/>
          <w:sz w:val="20"/>
          <w:szCs w:val="20"/>
        </w:rPr>
        <w:t>(mimo podpis této Smlouvy a jejích případných dodatků)</w:t>
      </w:r>
      <w:r w:rsidRPr="008753D6">
        <w:rPr>
          <w:rFonts w:ascii="Arial" w:hAnsi="Arial" w:cs="Arial"/>
          <w:sz w:val="20"/>
          <w:szCs w:val="20"/>
        </w:rPr>
        <w:t xml:space="preserve"> </w:t>
      </w:r>
    </w:p>
    <w:p w:rsidR="00B51580" w:rsidRPr="00305A5D" w:rsidRDefault="00B51580" w:rsidP="00305A5D">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Pr="00305A5D">
        <w:rPr>
          <w:rFonts w:ascii="Arial" w:hAnsi="Arial" w:cs="Arial"/>
          <w:b/>
          <w:sz w:val="20"/>
          <w:szCs w:val="20"/>
        </w:rPr>
        <w:t xml:space="preserve">: </w:t>
      </w:r>
      <w:r w:rsidR="00305A5D" w:rsidRPr="00305A5D">
        <w:rPr>
          <w:rFonts w:ascii="Arial" w:hAnsi="Arial" w:cs="Arial"/>
          <w:b/>
          <w:sz w:val="20"/>
          <w:szCs w:val="20"/>
        </w:rPr>
        <w:t>Miloš Vyhnálek</w:t>
      </w:r>
      <w:r w:rsidR="00305A5D" w:rsidRPr="00305A5D">
        <w:rPr>
          <w:rFonts w:ascii="Arial" w:hAnsi="Arial" w:cs="Arial"/>
          <w:sz w:val="20"/>
          <w:szCs w:val="20"/>
        </w:rPr>
        <w:t xml:space="preserve">, tel.: 727 874 318, e-mail: VyhnalekM@szdc.cz  </w:t>
      </w:r>
      <w:r w:rsidR="00305A5D">
        <w:rPr>
          <w:rFonts w:ascii="Arial" w:hAnsi="Arial" w:cs="Arial"/>
          <w:sz w:val="20"/>
          <w:szCs w:val="20"/>
        </w:rPr>
        <w:t xml:space="preserve">                               </w:t>
      </w:r>
    </w:p>
    <w:p w:rsidR="00B51580" w:rsidRPr="009667FC" w:rsidRDefault="00B51580" w:rsidP="00B51580">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Pr="00FC6698">
        <w:rPr>
          <w:rFonts w:ascii="Arial" w:hAnsi="Arial" w:cs="Arial"/>
          <w:sz w:val="20"/>
          <w:szCs w:val="20"/>
        </w:rPr>
        <w:t xml:space="preserve">. inženýr: </w:t>
      </w:r>
      <w:r w:rsidRPr="009667FC">
        <w:rPr>
          <w:rFonts w:ascii="Arial" w:hAnsi="Arial" w:cs="Arial"/>
          <w:b/>
          <w:sz w:val="20"/>
          <w:szCs w:val="20"/>
        </w:rPr>
        <w:t>…………………</w:t>
      </w:r>
      <w:proofErr w:type="gramStart"/>
      <w:r w:rsidRPr="009667FC">
        <w:rPr>
          <w:rFonts w:ascii="Arial" w:hAnsi="Arial" w:cs="Arial"/>
          <w:b/>
          <w:sz w:val="20"/>
          <w:szCs w:val="20"/>
        </w:rPr>
        <w:t>…..</w:t>
      </w:r>
      <w:r w:rsidRPr="009667FC">
        <w:rPr>
          <w:rFonts w:ascii="Arial" w:hAnsi="Arial" w:cs="Arial"/>
          <w:sz w:val="20"/>
          <w:szCs w:val="20"/>
        </w:rPr>
        <w:t>, SŽG</w:t>
      </w:r>
      <w:proofErr w:type="gramEnd"/>
      <w:r w:rsidRPr="009667FC">
        <w:rPr>
          <w:rFonts w:ascii="Arial" w:hAnsi="Arial" w:cs="Arial"/>
          <w:sz w:val="20"/>
          <w:szCs w:val="20"/>
        </w:rPr>
        <w:t xml:space="preserve"> Praha, GSM: ……………….., </w:t>
      </w:r>
    </w:p>
    <w:p w:rsidR="00B51580" w:rsidRPr="00FC6698" w:rsidRDefault="00B51580" w:rsidP="00B51580">
      <w:pPr>
        <w:suppressAutoHyphens/>
        <w:ind w:left="284"/>
        <w:rPr>
          <w:rFonts w:ascii="Arial" w:hAnsi="Arial" w:cs="Arial"/>
          <w:sz w:val="20"/>
          <w:szCs w:val="20"/>
        </w:rPr>
      </w:pPr>
      <w:r w:rsidRPr="009667FC">
        <w:rPr>
          <w:rFonts w:ascii="Arial" w:hAnsi="Arial" w:cs="Arial"/>
          <w:sz w:val="20"/>
          <w:szCs w:val="20"/>
        </w:rPr>
        <w:t xml:space="preserve">                                                             e-mail: </w:t>
      </w:r>
      <w:hyperlink r:id="rId9" w:history="1">
        <w:r w:rsidRPr="009667FC">
          <w:rPr>
            <w:rStyle w:val="Hypertextovodkaz"/>
            <w:rFonts w:ascii="Arial" w:hAnsi="Arial" w:cs="Arial"/>
            <w:sz w:val="20"/>
            <w:szCs w:val="20"/>
          </w:rPr>
          <w:t>………………………</w:t>
        </w:r>
      </w:hyperlink>
      <w:r w:rsidRPr="00FC6698">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proofErr w:type="gramStart"/>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proofErr w:type="gramEnd"/>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053C22" w:rsidRDefault="00053C22" w:rsidP="00053C22">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Pr="0079011F">
        <w:rPr>
          <w:rFonts w:ascii="Arial" w:hAnsi="Arial" w:cs="Arial"/>
          <w:b/>
          <w:sz w:val="20"/>
          <w:szCs w:val="20"/>
          <w:highlight w:val="yellow"/>
        </w:rPr>
        <w:t>………………….</w:t>
      </w:r>
      <w:r w:rsidRPr="00FC6698">
        <w:rPr>
          <w:rFonts w:ascii="Arial" w:hAnsi="Arial" w:cs="Arial"/>
          <w:sz w:val="20"/>
          <w:szCs w:val="20"/>
        </w:rPr>
        <w:t>, GSM: </w:t>
      </w:r>
      <w:r w:rsidRPr="0079011F">
        <w:rPr>
          <w:rFonts w:ascii="Arial" w:hAnsi="Arial" w:cs="Arial"/>
          <w:sz w:val="20"/>
          <w:szCs w:val="20"/>
          <w:highlight w:val="yellow"/>
        </w:rPr>
        <w:t>………………….</w:t>
      </w:r>
    </w:p>
    <w:p w:rsidR="00053C22" w:rsidRPr="00053C22" w:rsidRDefault="00053C22" w:rsidP="00053C22">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Pr="0079011F">
        <w:rPr>
          <w:rFonts w:ascii="Arial" w:hAnsi="Arial" w:cs="Arial"/>
          <w:sz w:val="20"/>
          <w:szCs w:val="20"/>
          <w:highlight w:val="yellow"/>
        </w:rPr>
        <w:t>……………………….</w:t>
      </w:r>
      <w:r w:rsidRPr="007D74B1">
        <w:rPr>
          <w:rFonts w:ascii="Arial" w:hAnsi="Arial" w:cs="Arial"/>
          <w:sz w:val="20"/>
          <w:szCs w:val="20"/>
        </w:rPr>
        <w:t xml:space="preserve">, </w:t>
      </w:r>
      <w:r w:rsidRPr="0079011F">
        <w:rPr>
          <w:rFonts w:ascii="Arial" w:hAnsi="Arial" w:cs="Arial"/>
          <w:sz w:val="20"/>
          <w:szCs w:val="20"/>
          <w:highlight w:val="yellow"/>
        </w:rPr>
        <w:t>……………………….</w:t>
      </w:r>
      <w:r w:rsidRPr="007D74B1">
        <w:rPr>
          <w:rFonts w:ascii="Arial" w:hAnsi="Arial" w:cs="Arial"/>
          <w:sz w:val="20"/>
          <w:szCs w:val="20"/>
        </w:rPr>
        <w:t xml:space="preserve">, GSM: </w:t>
      </w:r>
      <w:r w:rsidRPr="0079011F">
        <w:rPr>
          <w:rFonts w:ascii="Arial" w:hAnsi="Arial" w:cs="Arial"/>
          <w:sz w:val="20"/>
          <w:szCs w:val="20"/>
          <w:highlight w:val="yellow"/>
        </w:rPr>
        <w:t>………………….</w:t>
      </w:r>
      <w:r w:rsidRPr="007D74B1">
        <w:rPr>
          <w:rFonts w:ascii="Arial" w:hAnsi="Arial" w:cs="Arial"/>
          <w:sz w:val="20"/>
          <w:szCs w:val="20"/>
        </w:rPr>
        <w:t>, email</w:t>
      </w:r>
      <w:r>
        <w:rPr>
          <w:rFonts w:ascii="Arial" w:hAnsi="Arial" w:cs="Arial"/>
          <w:sz w:val="20"/>
          <w:szCs w:val="20"/>
        </w:rPr>
        <w:t xml:space="preserve">: </w:t>
      </w:r>
      <w:r w:rsidRPr="0079011F">
        <w:rPr>
          <w:rFonts w:ascii="Arial" w:hAnsi="Arial" w:cs="Arial"/>
          <w:sz w:val="20"/>
          <w:szCs w:val="20"/>
          <w:highlight w:val="yellow"/>
        </w:rPr>
        <w:t>………………………………….</w:t>
      </w:r>
    </w:p>
    <w:p w:rsidR="002E5058" w:rsidRPr="00FC6698" w:rsidRDefault="002E5058" w:rsidP="002369E2">
      <w:pPr>
        <w:suppressAutoHyphens/>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Default="00385AB3" w:rsidP="008C17B5">
      <w:pPr>
        <w:suppressAutoHyphens/>
        <w:ind w:left="540" w:hanging="540"/>
        <w:jc w:val="both"/>
        <w:rPr>
          <w:rFonts w:ascii="Arial" w:hAnsi="Arial" w:cs="Arial"/>
          <w:sz w:val="20"/>
          <w:szCs w:val="20"/>
        </w:rPr>
      </w:pPr>
      <w:proofErr w:type="gramStart"/>
      <w:r w:rsidRPr="00FC6698">
        <w:rPr>
          <w:rFonts w:ascii="Arial" w:hAnsi="Arial" w:cs="Arial"/>
          <w:b/>
          <w:bCs/>
          <w:sz w:val="20"/>
          <w:szCs w:val="20"/>
        </w:rPr>
        <w:lastRenderedPageBreak/>
        <w:t>1.3</w:t>
      </w:r>
      <w:proofErr w:type="gramEnd"/>
      <w:r w:rsidRPr="00FC6698">
        <w:rPr>
          <w:rFonts w:ascii="Arial" w:hAnsi="Arial" w:cs="Arial"/>
          <w:b/>
          <w:bCs/>
          <w:sz w:val="20"/>
          <w:szCs w:val="20"/>
        </w:rPr>
        <w:t>.</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305A5D" w:rsidRPr="00FC6698" w:rsidRDefault="00305A5D" w:rsidP="008C17B5">
      <w:pPr>
        <w:suppressAutoHyphens/>
        <w:ind w:left="540" w:hanging="540"/>
        <w:jc w:val="both"/>
        <w:rPr>
          <w:rFonts w:ascii="Arial" w:hAnsi="Arial" w:cs="Arial"/>
          <w:sz w:val="20"/>
          <w:szCs w:val="20"/>
        </w:rPr>
      </w:pP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305A5D" w:rsidRPr="001F2F0E" w:rsidRDefault="00F436D7" w:rsidP="00305A5D">
      <w:pPr>
        <w:suppressAutoHyphens/>
        <w:spacing w:after="120"/>
        <w:ind w:left="567" w:hanging="567"/>
        <w:jc w:val="both"/>
        <w:rPr>
          <w:rFonts w:ascii="Arial" w:hAnsi="Arial" w:cs="Arial"/>
          <w:sz w:val="20"/>
          <w:szCs w:val="20"/>
        </w:rPr>
      </w:pPr>
      <w:r w:rsidRPr="00FC6698">
        <w:rPr>
          <w:rFonts w:ascii="Arial" w:hAnsi="Arial" w:cs="Arial"/>
          <w:b/>
          <w:sz w:val="20"/>
          <w:szCs w:val="20"/>
        </w:rPr>
        <w:t>2.2.</w:t>
      </w:r>
      <w:r w:rsidR="002369E2">
        <w:rPr>
          <w:rFonts w:ascii="Arial" w:hAnsi="Arial" w:cs="Arial"/>
          <w:sz w:val="20"/>
          <w:szCs w:val="20"/>
        </w:rPr>
        <w:t xml:space="preserve">  </w:t>
      </w:r>
      <w:r w:rsidR="00B51580" w:rsidRPr="00FC6698">
        <w:rPr>
          <w:rFonts w:ascii="Arial" w:hAnsi="Arial" w:cs="Arial"/>
          <w:sz w:val="20"/>
          <w:szCs w:val="20"/>
        </w:rPr>
        <w:t xml:space="preserve">Dílem se </w:t>
      </w:r>
      <w:r w:rsidR="00305A5D" w:rsidRPr="00FC6698">
        <w:rPr>
          <w:rFonts w:ascii="Arial" w:hAnsi="Arial" w:cs="Arial"/>
          <w:sz w:val="20"/>
          <w:szCs w:val="20"/>
        </w:rPr>
        <w:t>rozumí zajištění</w:t>
      </w:r>
      <w:r w:rsidR="00305A5D" w:rsidRPr="002652BF">
        <w:t xml:space="preserve"> </w:t>
      </w:r>
      <w:r w:rsidR="00305A5D">
        <w:rPr>
          <w:rFonts w:ascii="Arial" w:hAnsi="Arial" w:cs="Arial"/>
          <w:sz w:val="20"/>
          <w:szCs w:val="20"/>
        </w:rPr>
        <w:t>geotechnické</w:t>
      </w:r>
      <w:r w:rsidR="00305A5D" w:rsidRPr="002652BF">
        <w:rPr>
          <w:rFonts w:ascii="Arial" w:hAnsi="Arial" w:cs="Arial"/>
          <w:sz w:val="20"/>
          <w:szCs w:val="20"/>
        </w:rPr>
        <w:t xml:space="preserve"> kontrolní</w:t>
      </w:r>
      <w:r w:rsidR="00305A5D">
        <w:rPr>
          <w:rFonts w:ascii="Arial" w:hAnsi="Arial" w:cs="Arial"/>
          <w:sz w:val="20"/>
          <w:szCs w:val="20"/>
        </w:rPr>
        <w:t xml:space="preserve"> a dozorové</w:t>
      </w:r>
      <w:r w:rsidR="00305A5D" w:rsidRPr="002652BF">
        <w:rPr>
          <w:rFonts w:ascii="Arial" w:hAnsi="Arial" w:cs="Arial"/>
          <w:sz w:val="20"/>
          <w:szCs w:val="20"/>
        </w:rPr>
        <w:t xml:space="preserve"> činnost</w:t>
      </w:r>
      <w:r w:rsidR="00305A5D">
        <w:rPr>
          <w:rFonts w:ascii="Arial" w:hAnsi="Arial" w:cs="Arial"/>
          <w:sz w:val="20"/>
          <w:szCs w:val="20"/>
        </w:rPr>
        <w:t>i, monitoring v průběhu výstavby a monitoring pět měsíců po ukončení realizace</w:t>
      </w:r>
      <w:r w:rsidR="00305A5D" w:rsidRPr="002652BF">
        <w:rPr>
          <w:rFonts w:ascii="Arial" w:hAnsi="Arial" w:cs="Arial"/>
          <w:sz w:val="20"/>
          <w:szCs w:val="20"/>
        </w:rPr>
        <w:t xml:space="preserve"> stavby</w:t>
      </w:r>
      <w:r w:rsidR="00305A5D" w:rsidRPr="00FC6698">
        <w:rPr>
          <w:rFonts w:ascii="Arial" w:hAnsi="Arial" w:cs="Arial"/>
          <w:sz w:val="20"/>
          <w:szCs w:val="20"/>
        </w:rPr>
        <w:t xml:space="preserve"> </w:t>
      </w:r>
      <w:r w:rsidR="00305A5D" w:rsidRPr="00E26760">
        <w:rPr>
          <w:rFonts w:ascii="Arial" w:hAnsi="Arial" w:cs="Arial"/>
          <w:b/>
          <w:sz w:val="20"/>
          <w:szCs w:val="20"/>
        </w:rPr>
        <w:t>„Sanace nestabilních náspů zemního tělesa v úseku Hájek – Dalovice“</w:t>
      </w:r>
      <w:r w:rsidR="00305A5D" w:rsidRPr="00FC6698">
        <w:rPr>
          <w:rFonts w:ascii="Arial" w:hAnsi="Arial" w:cs="Arial"/>
          <w:b/>
          <w:i/>
          <w:sz w:val="20"/>
          <w:szCs w:val="20"/>
        </w:rPr>
        <w:t>,</w:t>
      </w:r>
      <w:r w:rsidR="00305A5D" w:rsidRPr="00FC6698">
        <w:rPr>
          <w:rFonts w:ascii="Arial" w:hAnsi="Arial" w:cs="Arial"/>
          <w:sz w:val="20"/>
          <w:szCs w:val="20"/>
        </w:rPr>
        <w:t xml:space="preserve"> to vše v rozsahu stanoveném touto Smlouvou, zadávací dokumentací a předloženou nabídkou (dále jen „dílo“).</w:t>
      </w:r>
    </w:p>
    <w:p w:rsidR="00305A5D" w:rsidRDefault="00305A5D" w:rsidP="00305A5D">
      <w:pPr>
        <w:suppressAutoHyphens/>
        <w:spacing w:after="120"/>
        <w:ind w:left="567" w:hanging="567"/>
        <w:jc w:val="both"/>
        <w:rPr>
          <w:rFonts w:ascii="Arial" w:hAnsi="Arial" w:cs="Arial"/>
          <w:sz w:val="20"/>
          <w:szCs w:val="20"/>
        </w:rPr>
      </w:pPr>
      <w:r>
        <w:rPr>
          <w:rFonts w:ascii="Arial" w:hAnsi="Arial" w:cs="Arial"/>
          <w:b/>
          <w:sz w:val="20"/>
          <w:szCs w:val="20"/>
        </w:rPr>
        <w:t xml:space="preserve">2.3 </w:t>
      </w:r>
      <w:r>
        <w:rPr>
          <w:rFonts w:ascii="Arial" w:hAnsi="Arial" w:cs="Arial"/>
          <w:b/>
          <w:sz w:val="20"/>
          <w:szCs w:val="20"/>
        </w:rPr>
        <w:tab/>
      </w:r>
      <w:r w:rsidR="00DD224F">
        <w:rPr>
          <w:rFonts w:ascii="Arial" w:hAnsi="Arial" w:cs="Arial"/>
          <w:sz w:val="20"/>
          <w:szCs w:val="20"/>
        </w:rPr>
        <w:t>Geotechnick</w:t>
      </w:r>
      <w:r w:rsidR="00903891">
        <w:rPr>
          <w:rFonts w:ascii="Arial" w:hAnsi="Arial" w:cs="Arial"/>
          <w:sz w:val="20"/>
          <w:szCs w:val="20"/>
        </w:rPr>
        <w:t>á</w:t>
      </w:r>
      <w:r w:rsidRPr="00E62223">
        <w:rPr>
          <w:rFonts w:ascii="Arial" w:hAnsi="Arial" w:cs="Arial"/>
          <w:sz w:val="20"/>
          <w:szCs w:val="20"/>
        </w:rPr>
        <w:t xml:space="preserve"> </w:t>
      </w:r>
      <w:r w:rsidR="00E27C9B">
        <w:rPr>
          <w:rFonts w:ascii="Arial" w:hAnsi="Arial" w:cs="Arial"/>
          <w:sz w:val="20"/>
          <w:szCs w:val="20"/>
        </w:rPr>
        <w:t>kontrolní a dozorová činnost</w:t>
      </w:r>
      <w:r>
        <w:rPr>
          <w:rFonts w:ascii="Arial" w:hAnsi="Arial" w:cs="Arial"/>
          <w:b/>
          <w:sz w:val="20"/>
          <w:szCs w:val="20"/>
        </w:rPr>
        <w:t xml:space="preserve"> </w:t>
      </w:r>
      <w:r w:rsidR="00E27C9B">
        <w:rPr>
          <w:rFonts w:ascii="Arial" w:hAnsi="Arial" w:cs="Arial"/>
          <w:sz w:val="20"/>
          <w:szCs w:val="20"/>
        </w:rPr>
        <w:t>bude prováděna pravidelně</w:t>
      </w:r>
      <w:r>
        <w:rPr>
          <w:rFonts w:ascii="Arial" w:hAnsi="Arial" w:cs="Arial"/>
          <w:sz w:val="20"/>
          <w:szCs w:val="20"/>
        </w:rPr>
        <w:t xml:space="preserve"> kontrolní</w:t>
      </w:r>
      <w:r w:rsidR="00E27C9B">
        <w:rPr>
          <w:rFonts w:ascii="Arial" w:hAnsi="Arial" w:cs="Arial"/>
          <w:sz w:val="20"/>
          <w:szCs w:val="20"/>
        </w:rPr>
        <w:t>m</w:t>
      </w:r>
      <w:r>
        <w:rPr>
          <w:rFonts w:ascii="Arial" w:hAnsi="Arial" w:cs="Arial"/>
          <w:sz w:val="20"/>
          <w:szCs w:val="20"/>
        </w:rPr>
        <w:t xml:space="preserve"> měření při odtěžování zemního tělesa nejen v pracovní dny,</w:t>
      </w:r>
      <w:r w:rsidR="00E27C9B">
        <w:rPr>
          <w:rFonts w:ascii="Arial" w:hAnsi="Arial" w:cs="Arial"/>
          <w:sz w:val="20"/>
          <w:szCs w:val="20"/>
        </w:rPr>
        <w:t xml:space="preserve"> ale i</w:t>
      </w:r>
      <w:r>
        <w:rPr>
          <w:rFonts w:ascii="Arial" w:hAnsi="Arial" w:cs="Arial"/>
          <w:sz w:val="20"/>
          <w:szCs w:val="20"/>
        </w:rPr>
        <w:t xml:space="preserve"> o sobotách, nedělích a svátcích. Při zřizování zemníh</w:t>
      </w:r>
      <w:r w:rsidR="00E27C9B">
        <w:rPr>
          <w:rFonts w:ascii="Arial" w:hAnsi="Arial" w:cs="Arial"/>
          <w:sz w:val="20"/>
          <w:szCs w:val="20"/>
        </w:rPr>
        <w:t>o tělesa bude geotechnická kontrolní a dozorová činnost prováděna pravidelným</w:t>
      </w:r>
      <w:r>
        <w:rPr>
          <w:rFonts w:ascii="Arial" w:hAnsi="Arial" w:cs="Arial"/>
          <w:sz w:val="20"/>
          <w:szCs w:val="20"/>
        </w:rPr>
        <w:t xml:space="preserve"> kontrolní</w:t>
      </w:r>
      <w:r w:rsidR="00E27C9B">
        <w:rPr>
          <w:rFonts w:ascii="Arial" w:hAnsi="Arial" w:cs="Arial"/>
          <w:sz w:val="20"/>
          <w:szCs w:val="20"/>
        </w:rPr>
        <w:t>m</w:t>
      </w:r>
      <w:r>
        <w:rPr>
          <w:rFonts w:ascii="Arial" w:hAnsi="Arial" w:cs="Arial"/>
          <w:sz w:val="20"/>
          <w:szCs w:val="20"/>
        </w:rPr>
        <w:t xml:space="preserve"> měření</w:t>
      </w:r>
      <w:r w:rsidR="00E27C9B">
        <w:rPr>
          <w:rFonts w:ascii="Arial" w:hAnsi="Arial" w:cs="Arial"/>
          <w:sz w:val="20"/>
          <w:szCs w:val="20"/>
        </w:rPr>
        <w:t>m</w:t>
      </w:r>
      <w:r>
        <w:rPr>
          <w:rFonts w:ascii="Arial" w:hAnsi="Arial" w:cs="Arial"/>
          <w:sz w:val="20"/>
          <w:szCs w:val="20"/>
        </w:rPr>
        <w:t xml:space="preserve"> 24 hodin nepřetržitě v pracovní dny, o sobotách, nedělích a svátcích v rámci navrženého technologického postupu tak, aby byla zajištěna požadovaná kvalita díla a bezpečnost pracovníků.</w:t>
      </w:r>
    </w:p>
    <w:p w:rsidR="00305A5D" w:rsidRDefault="00305A5D" w:rsidP="00305A5D">
      <w:pPr>
        <w:suppressAutoHyphens/>
        <w:spacing w:after="120"/>
        <w:ind w:left="567" w:hanging="567"/>
        <w:jc w:val="both"/>
        <w:rPr>
          <w:rFonts w:ascii="Arial" w:hAnsi="Arial" w:cs="Arial"/>
          <w:sz w:val="20"/>
          <w:szCs w:val="20"/>
        </w:rPr>
      </w:pPr>
      <w:r>
        <w:rPr>
          <w:rFonts w:ascii="Arial" w:hAnsi="Arial" w:cs="Arial"/>
          <w:sz w:val="20"/>
          <w:szCs w:val="20"/>
        </w:rPr>
        <w:t xml:space="preserve">          </w:t>
      </w:r>
      <w:r w:rsidRPr="00EE112B">
        <w:rPr>
          <w:rFonts w:ascii="Arial" w:hAnsi="Arial" w:cs="Arial"/>
          <w:sz w:val="20"/>
          <w:szCs w:val="20"/>
        </w:rPr>
        <w:t>Na základě výsledků laboratorních zkoušek zemin podloží a vlastního tělesa odebraných v průběhu realizace sanačních prací provede geotechnický konzultant kontrolní výpočet stability a předpokládaného sedání projektovaného stavu a ověří, zdali hodnoty deformací budou vyhovovat navržené dlouhodobé spolehlivosti projekčního řešení.</w:t>
      </w:r>
    </w:p>
    <w:p w:rsidR="00305A5D" w:rsidRDefault="00305A5D" w:rsidP="00305A5D">
      <w:pPr>
        <w:suppressAutoHyphens/>
        <w:spacing w:after="120"/>
        <w:ind w:left="567" w:hanging="567"/>
        <w:jc w:val="both"/>
        <w:rPr>
          <w:rFonts w:ascii="Arial" w:hAnsi="Arial" w:cs="Arial"/>
          <w:sz w:val="20"/>
          <w:szCs w:val="20"/>
        </w:rPr>
      </w:pPr>
      <w:r>
        <w:rPr>
          <w:rFonts w:ascii="Arial" w:hAnsi="Arial" w:cs="Arial"/>
          <w:sz w:val="20"/>
          <w:szCs w:val="20"/>
        </w:rPr>
        <w:t xml:space="preserve">          </w:t>
      </w:r>
      <w:r w:rsidR="00E27C9B">
        <w:rPr>
          <w:rFonts w:ascii="Arial" w:hAnsi="Arial" w:cs="Arial"/>
          <w:sz w:val="20"/>
          <w:szCs w:val="20"/>
        </w:rPr>
        <w:t>Součástí g</w:t>
      </w:r>
      <w:r w:rsidR="00903891">
        <w:rPr>
          <w:rFonts w:ascii="Arial" w:hAnsi="Arial" w:cs="Arial"/>
          <w:sz w:val="20"/>
          <w:szCs w:val="20"/>
        </w:rPr>
        <w:t>eotechnické kontrolní a dozorové</w:t>
      </w:r>
      <w:r w:rsidR="00E27C9B" w:rsidRPr="00E27C9B">
        <w:rPr>
          <w:rFonts w:ascii="Arial" w:hAnsi="Arial" w:cs="Arial"/>
          <w:sz w:val="20"/>
          <w:szCs w:val="20"/>
        </w:rPr>
        <w:t xml:space="preserve"> činnost</w:t>
      </w:r>
      <w:r w:rsidR="00E27C9B">
        <w:rPr>
          <w:rFonts w:ascii="Arial" w:hAnsi="Arial" w:cs="Arial"/>
          <w:sz w:val="20"/>
          <w:szCs w:val="20"/>
        </w:rPr>
        <w:t>i bude v</w:t>
      </w:r>
      <w:r w:rsidRPr="00EE112B">
        <w:rPr>
          <w:rFonts w:ascii="Arial" w:hAnsi="Arial" w:cs="Arial"/>
          <w:sz w:val="20"/>
          <w:szCs w:val="20"/>
        </w:rPr>
        <w:t>ypracování závěrečné zprávy o průběhu výstavby a výsledcích kontrolních měření s vyhodnocením provedených sanačních opatřeních ve vztahu ke kvalitě prováděného díla.</w:t>
      </w:r>
    </w:p>
    <w:p w:rsidR="00F436D7" w:rsidRPr="00FC6698" w:rsidRDefault="00F436D7" w:rsidP="00305A5D">
      <w:pPr>
        <w:ind w:left="567" w:hanging="567"/>
        <w:jc w:val="both"/>
        <w:rPr>
          <w:rFonts w:ascii="Arial" w:hAnsi="Arial" w:cs="Arial"/>
          <w:sz w:val="20"/>
          <w:szCs w:val="20"/>
        </w:rPr>
      </w:pP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9667FC"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995CC3" w:rsidRPr="00995CC3">
        <w:rPr>
          <w:rFonts w:ascii="Arial" w:hAnsi="Arial" w:cs="Arial"/>
          <w:sz w:val="20"/>
          <w:szCs w:val="20"/>
        </w:rPr>
        <w:t>16232</w:t>
      </w:r>
      <w:r w:rsidR="00B82D00" w:rsidRPr="009667FC">
        <w:rPr>
          <w:rFonts w:ascii="Arial" w:hAnsi="Arial" w:cs="Arial"/>
          <w:sz w:val="20"/>
          <w:szCs w:val="20"/>
        </w:rPr>
        <w:t>/201</w:t>
      </w:r>
      <w:r w:rsidR="00FC6698" w:rsidRPr="009667FC">
        <w:rPr>
          <w:rFonts w:ascii="Arial" w:hAnsi="Arial" w:cs="Arial"/>
          <w:sz w:val="20"/>
          <w:szCs w:val="20"/>
        </w:rPr>
        <w:t>x</w:t>
      </w:r>
      <w:r w:rsidR="007A08EA" w:rsidRPr="009667FC">
        <w:rPr>
          <w:rFonts w:ascii="Arial" w:hAnsi="Arial" w:cs="Arial"/>
          <w:sz w:val="20"/>
          <w:szCs w:val="20"/>
        </w:rPr>
        <w:t>-SŽDC-SSZ</w:t>
      </w:r>
      <w:r w:rsidR="008C17B5" w:rsidRPr="009667FC">
        <w:rPr>
          <w:rFonts w:ascii="Arial" w:hAnsi="Arial" w:cs="Arial"/>
          <w:sz w:val="20"/>
          <w:szCs w:val="20"/>
        </w:rPr>
        <w:t>-</w:t>
      </w:r>
      <w:r w:rsidR="005928F2" w:rsidRPr="009667FC">
        <w:rPr>
          <w:rFonts w:ascii="Arial" w:hAnsi="Arial" w:cs="Arial"/>
          <w:sz w:val="20"/>
          <w:szCs w:val="20"/>
        </w:rPr>
        <w:t>O</w:t>
      </w:r>
      <w:r w:rsidR="000F599B" w:rsidRPr="009667FC">
        <w:rPr>
          <w:rFonts w:ascii="Arial" w:hAnsi="Arial" w:cs="Arial"/>
          <w:sz w:val="20"/>
          <w:szCs w:val="20"/>
        </w:rPr>
        <w:t>VZ</w:t>
      </w:r>
      <w:r w:rsidR="008C17B5" w:rsidRPr="009667FC">
        <w:rPr>
          <w:rFonts w:ascii="Arial" w:hAnsi="Arial" w:cs="Arial"/>
          <w:sz w:val="20"/>
          <w:szCs w:val="20"/>
        </w:rPr>
        <w:t xml:space="preserve"> </w:t>
      </w:r>
      <w:r w:rsidRPr="009667FC">
        <w:rPr>
          <w:rFonts w:ascii="Arial" w:hAnsi="Arial" w:cs="Arial"/>
          <w:sz w:val="20"/>
          <w:szCs w:val="20"/>
        </w:rPr>
        <w:t>ze dne</w:t>
      </w:r>
      <w:r w:rsidR="000306FD" w:rsidRPr="009667FC">
        <w:rPr>
          <w:rFonts w:ascii="Arial" w:hAnsi="Arial" w:cs="Arial"/>
          <w:sz w:val="20"/>
          <w:szCs w:val="20"/>
        </w:rPr>
        <w:t xml:space="preserve"> </w:t>
      </w:r>
      <w:r w:rsidR="00903891">
        <w:rPr>
          <w:rFonts w:ascii="Arial" w:hAnsi="Arial" w:cs="Arial"/>
          <w:sz w:val="20"/>
          <w:szCs w:val="20"/>
        </w:rPr>
        <w:t>13</w:t>
      </w:r>
      <w:r w:rsidR="009667FC">
        <w:rPr>
          <w:rFonts w:ascii="Arial" w:hAnsi="Arial" w:cs="Arial"/>
          <w:sz w:val="20"/>
          <w:szCs w:val="20"/>
        </w:rPr>
        <w:t>.</w:t>
      </w:r>
      <w:r w:rsidR="008365C6">
        <w:rPr>
          <w:rFonts w:ascii="Arial" w:hAnsi="Arial" w:cs="Arial"/>
          <w:sz w:val="20"/>
          <w:szCs w:val="20"/>
        </w:rPr>
        <w:t xml:space="preserve"> </w:t>
      </w:r>
      <w:r w:rsidR="009667FC">
        <w:rPr>
          <w:rFonts w:ascii="Arial" w:hAnsi="Arial" w:cs="Arial"/>
          <w:sz w:val="20"/>
          <w:szCs w:val="20"/>
        </w:rPr>
        <w:t>9.</w:t>
      </w:r>
      <w:r w:rsidR="008365C6">
        <w:rPr>
          <w:rFonts w:ascii="Arial" w:hAnsi="Arial" w:cs="Arial"/>
          <w:sz w:val="20"/>
          <w:szCs w:val="20"/>
        </w:rPr>
        <w:t xml:space="preserve"> </w:t>
      </w:r>
      <w:r w:rsidR="009667FC">
        <w:rPr>
          <w:rFonts w:ascii="Arial" w:hAnsi="Arial" w:cs="Arial"/>
          <w:sz w:val="20"/>
          <w:szCs w:val="20"/>
        </w:rPr>
        <w:t>2019</w:t>
      </w:r>
      <w:r w:rsidR="00E54557" w:rsidRPr="009667FC">
        <w:rPr>
          <w:rFonts w:ascii="Arial" w:hAnsi="Arial" w:cs="Arial"/>
          <w:sz w:val="20"/>
          <w:szCs w:val="20"/>
        </w:rPr>
        <w:t>, vč. příloh</w:t>
      </w:r>
    </w:p>
    <w:p w:rsidR="002369E2" w:rsidRDefault="00E54557" w:rsidP="00B51580">
      <w:pPr>
        <w:numPr>
          <w:ilvl w:val="0"/>
          <w:numId w:val="46"/>
        </w:numPr>
        <w:tabs>
          <w:tab w:val="left" w:pos="851"/>
        </w:tabs>
        <w:suppressAutoHyphens/>
        <w:ind w:left="1418" w:hanging="567"/>
        <w:jc w:val="both"/>
        <w:rPr>
          <w:rFonts w:ascii="Arial" w:hAnsi="Arial" w:cs="Arial"/>
          <w:sz w:val="20"/>
          <w:szCs w:val="20"/>
        </w:rPr>
      </w:pPr>
      <w:r>
        <w:rPr>
          <w:rFonts w:ascii="Arial" w:hAnsi="Arial" w:cs="Arial"/>
          <w:sz w:val="20"/>
          <w:szCs w:val="20"/>
        </w:rPr>
        <w:t xml:space="preserve">Smlouva o dílo, vč. </w:t>
      </w:r>
      <w:r w:rsidR="00305A5D">
        <w:rPr>
          <w:rFonts w:ascii="Arial" w:hAnsi="Arial" w:cs="Arial"/>
          <w:sz w:val="20"/>
          <w:szCs w:val="20"/>
        </w:rPr>
        <w:t>P</w:t>
      </w:r>
      <w:r>
        <w:rPr>
          <w:rFonts w:ascii="Arial" w:hAnsi="Arial" w:cs="Arial"/>
          <w:sz w:val="20"/>
          <w:szCs w:val="20"/>
        </w:rPr>
        <w:t>říloh</w:t>
      </w:r>
    </w:p>
    <w:p w:rsidR="00305A5D" w:rsidRDefault="00305A5D" w:rsidP="00B51580">
      <w:pPr>
        <w:numPr>
          <w:ilvl w:val="0"/>
          <w:numId w:val="46"/>
        </w:numPr>
        <w:tabs>
          <w:tab w:val="left" w:pos="851"/>
        </w:tabs>
        <w:suppressAutoHyphens/>
        <w:ind w:left="1418" w:hanging="567"/>
        <w:jc w:val="both"/>
        <w:rPr>
          <w:rFonts w:ascii="Arial" w:hAnsi="Arial" w:cs="Arial"/>
          <w:sz w:val="20"/>
          <w:szCs w:val="20"/>
        </w:rPr>
      </w:pPr>
      <w:r>
        <w:rPr>
          <w:rFonts w:ascii="Arial" w:hAnsi="Arial" w:cs="Arial"/>
          <w:sz w:val="20"/>
          <w:szCs w:val="20"/>
        </w:rPr>
        <w:t>Záměr projektu</w:t>
      </w:r>
      <w:bookmarkStart w:id="0" w:name="_GoBack"/>
      <w:bookmarkEnd w:id="0"/>
    </w:p>
    <w:p w:rsidR="00305A5D" w:rsidRDefault="00305A5D" w:rsidP="00B51580">
      <w:pPr>
        <w:numPr>
          <w:ilvl w:val="0"/>
          <w:numId w:val="46"/>
        </w:numPr>
        <w:tabs>
          <w:tab w:val="left" w:pos="851"/>
        </w:tabs>
        <w:suppressAutoHyphens/>
        <w:ind w:left="1418" w:hanging="567"/>
        <w:jc w:val="both"/>
        <w:rPr>
          <w:rFonts w:ascii="Arial" w:hAnsi="Arial" w:cs="Arial"/>
          <w:sz w:val="20"/>
          <w:szCs w:val="20"/>
        </w:rPr>
      </w:pPr>
      <w:r>
        <w:rPr>
          <w:rFonts w:ascii="Arial" w:hAnsi="Arial" w:cs="Arial"/>
          <w:sz w:val="20"/>
          <w:szCs w:val="20"/>
        </w:rPr>
        <w:t>Technické řešení</w:t>
      </w:r>
    </w:p>
    <w:p w:rsidR="00053C22" w:rsidRPr="00053C22" w:rsidRDefault="00053C22" w:rsidP="00053C22">
      <w:pPr>
        <w:tabs>
          <w:tab w:val="left" w:pos="851"/>
        </w:tabs>
        <w:suppressAutoHyphens/>
        <w:ind w:left="1418"/>
        <w:jc w:val="both"/>
        <w:rPr>
          <w:rFonts w:ascii="Arial" w:hAnsi="Arial" w:cs="Arial"/>
          <w:sz w:val="20"/>
          <w:szCs w:val="20"/>
        </w:rPr>
      </w:pP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FC6698">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proofErr w:type="gramStart"/>
      <w:r w:rsidR="000F599B" w:rsidRPr="00E21315">
        <w:rPr>
          <w:rFonts w:ascii="Arial" w:hAnsi="Arial" w:cs="Arial"/>
          <w:color w:val="000000"/>
          <w:sz w:val="20"/>
          <w:szCs w:val="20"/>
        </w:rPr>
        <w:t>….</w:t>
      </w:r>
      <w:r w:rsidR="004B508D" w:rsidRPr="00E21315">
        <w:rPr>
          <w:rFonts w:ascii="Arial" w:hAnsi="Arial" w:cs="Arial"/>
          <w:color w:val="000000"/>
          <w:sz w:val="20"/>
          <w:szCs w:val="20"/>
        </w:rPr>
        <w:t>/201</w:t>
      </w:r>
      <w:r w:rsidR="00FC6698" w:rsidRPr="00E21315">
        <w:rPr>
          <w:rFonts w:ascii="Arial" w:hAnsi="Arial" w:cs="Arial"/>
          <w:color w:val="000000"/>
          <w:sz w:val="20"/>
          <w:szCs w:val="20"/>
        </w:rPr>
        <w:t>x</w:t>
      </w:r>
      <w:r w:rsidR="004B508D" w:rsidRPr="00E21315">
        <w:rPr>
          <w:rFonts w:ascii="Arial" w:hAnsi="Arial" w:cs="Arial"/>
          <w:color w:val="000000"/>
          <w:sz w:val="20"/>
          <w:szCs w:val="20"/>
        </w:rPr>
        <w:t>-SZDC-SSZ-</w:t>
      </w:r>
      <w:r w:rsidR="005928F2" w:rsidRPr="00E21315">
        <w:rPr>
          <w:rFonts w:ascii="Arial" w:hAnsi="Arial" w:cs="Arial"/>
          <w:color w:val="000000"/>
          <w:sz w:val="20"/>
          <w:szCs w:val="20"/>
        </w:rPr>
        <w:t>O</w:t>
      </w:r>
      <w:r w:rsidR="004B508D" w:rsidRPr="00E21315">
        <w:rPr>
          <w:rFonts w:ascii="Arial" w:hAnsi="Arial" w:cs="Arial"/>
          <w:color w:val="000000"/>
          <w:sz w:val="20"/>
          <w:szCs w:val="20"/>
        </w:rPr>
        <w:t>VZ</w:t>
      </w:r>
      <w:proofErr w:type="gramEnd"/>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E21315">
        <w:rPr>
          <w:rFonts w:ascii="Arial" w:hAnsi="Arial" w:cs="Arial"/>
          <w:color w:val="000000"/>
          <w:sz w:val="20"/>
          <w:szCs w:val="20"/>
        </w:rPr>
        <w:t>…………….</w:t>
      </w:r>
      <w:r w:rsidRPr="00E21315">
        <w:rPr>
          <w:rFonts w:ascii="Arial" w:hAnsi="Arial" w:cs="Arial"/>
          <w:color w:val="000000"/>
          <w:sz w:val="20"/>
          <w:szCs w:val="20"/>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9F4713" w:rsidRPr="00305A5D" w:rsidRDefault="000D69A1" w:rsidP="00305A5D">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305A5D" w:rsidRDefault="00305A5D" w:rsidP="004122D9">
      <w:pPr>
        <w:pStyle w:val="Nadpis1"/>
        <w:suppressAutoHyphens/>
        <w:spacing w:before="0" w:after="0"/>
        <w:jc w:val="center"/>
        <w:rPr>
          <w:sz w:val="24"/>
          <w:szCs w:val="20"/>
          <w:u w:val="single"/>
        </w:rPr>
      </w:pPr>
    </w:p>
    <w:p w:rsidR="00305A5D" w:rsidRDefault="00305A5D" w:rsidP="004122D9">
      <w:pPr>
        <w:pStyle w:val="Nadpis1"/>
        <w:suppressAutoHyphens/>
        <w:spacing w:before="0" w:after="0"/>
        <w:jc w:val="center"/>
        <w:rPr>
          <w:sz w:val="24"/>
          <w:szCs w:val="20"/>
          <w:u w:val="single"/>
        </w:rPr>
      </w:pPr>
    </w:p>
    <w:p w:rsidR="00305A5D" w:rsidRDefault="00305A5D" w:rsidP="004122D9">
      <w:pPr>
        <w:pStyle w:val="Nadpis1"/>
        <w:suppressAutoHyphens/>
        <w:spacing w:before="0" w:after="0"/>
        <w:jc w:val="center"/>
        <w:rPr>
          <w:sz w:val="24"/>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D56CE2">
        <w:rPr>
          <w:rFonts w:ascii="Arial" w:hAnsi="Arial" w:cs="Arial"/>
          <w:b/>
          <w:sz w:val="20"/>
          <w:szCs w:val="20"/>
        </w:rPr>
        <w:t>mlouvy</w:t>
      </w:r>
      <w:r w:rsidR="00B51580">
        <w:rPr>
          <w:rFonts w:ascii="Arial" w:hAnsi="Arial" w:cs="Arial"/>
          <w:b/>
          <w:sz w:val="20"/>
          <w:szCs w:val="20"/>
        </w:rPr>
        <w:t xml:space="preserve"> </w:t>
      </w:r>
    </w:p>
    <w:p w:rsidR="00D56CE2" w:rsidRPr="00D56CE2" w:rsidRDefault="00907DFA" w:rsidP="00290640">
      <w:pPr>
        <w:suppressAutoHyphens/>
        <w:spacing w:before="120"/>
        <w:ind w:left="2835" w:hanging="2835"/>
        <w:jc w:val="both"/>
        <w:rPr>
          <w:rFonts w:ascii="Arial" w:hAnsi="Arial" w:cs="Arial"/>
          <w:b/>
          <w:sz w:val="20"/>
          <w:szCs w:val="20"/>
        </w:rPr>
      </w:pPr>
      <w:r w:rsidRPr="00FC6698">
        <w:rPr>
          <w:rFonts w:ascii="Arial" w:hAnsi="Arial" w:cs="Arial"/>
          <w:b/>
          <w:sz w:val="20"/>
          <w:szCs w:val="20"/>
        </w:rPr>
        <w:t xml:space="preserve">4.2. </w:t>
      </w:r>
      <w:r w:rsidR="00D56CE2">
        <w:rPr>
          <w:rFonts w:ascii="Arial" w:hAnsi="Arial" w:cs="Arial"/>
          <w:b/>
          <w:sz w:val="20"/>
          <w:szCs w:val="20"/>
        </w:rPr>
        <w:t xml:space="preserve"> </w:t>
      </w:r>
      <w:r w:rsidR="00EF745E" w:rsidRPr="00FC6698">
        <w:rPr>
          <w:rFonts w:ascii="Arial" w:hAnsi="Arial" w:cs="Arial"/>
          <w:sz w:val="20"/>
          <w:szCs w:val="20"/>
        </w:rPr>
        <w:t>U</w:t>
      </w:r>
      <w:r w:rsidRPr="00FC6698">
        <w:rPr>
          <w:rFonts w:ascii="Arial" w:hAnsi="Arial" w:cs="Arial"/>
          <w:sz w:val="20"/>
          <w:szCs w:val="20"/>
        </w:rPr>
        <w:t xml:space="preserve">končení </w:t>
      </w:r>
      <w:proofErr w:type="gramStart"/>
      <w:r w:rsidRPr="00FC6698">
        <w:rPr>
          <w:rFonts w:ascii="Arial" w:hAnsi="Arial" w:cs="Arial"/>
          <w:sz w:val="20"/>
          <w:szCs w:val="20"/>
        </w:rPr>
        <w:t>prací</w:t>
      </w:r>
      <w:r w:rsidR="000306FD" w:rsidRPr="00FC6698">
        <w:rPr>
          <w:rFonts w:ascii="Arial" w:hAnsi="Arial" w:cs="Arial"/>
          <w:sz w:val="20"/>
          <w:szCs w:val="20"/>
        </w:rPr>
        <w:t>:</w:t>
      </w:r>
      <w:r w:rsidRPr="00FC6698">
        <w:rPr>
          <w:rFonts w:ascii="Arial" w:hAnsi="Arial" w:cs="Arial"/>
          <w:sz w:val="20"/>
          <w:szCs w:val="20"/>
        </w:rPr>
        <w:t xml:space="preserve">      </w:t>
      </w:r>
      <w:r w:rsidR="00D56CE2">
        <w:rPr>
          <w:rFonts w:ascii="Arial" w:hAnsi="Arial" w:cs="Arial"/>
          <w:sz w:val="20"/>
          <w:szCs w:val="20"/>
        </w:rPr>
        <w:t xml:space="preserve"> </w:t>
      </w:r>
      <w:r w:rsidRPr="00FC6698">
        <w:rPr>
          <w:rFonts w:ascii="Arial" w:hAnsi="Arial" w:cs="Arial"/>
          <w:sz w:val="20"/>
          <w:szCs w:val="20"/>
        </w:rPr>
        <w:t xml:space="preserve"> </w:t>
      </w:r>
      <w:r w:rsidR="00D56CE2" w:rsidRPr="00D56CE2">
        <w:rPr>
          <w:rFonts w:ascii="Arial" w:hAnsi="Arial" w:cs="Arial"/>
          <w:b/>
          <w:sz w:val="20"/>
          <w:szCs w:val="20"/>
        </w:rPr>
        <w:t>pět</w:t>
      </w:r>
      <w:proofErr w:type="gramEnd"/>
      <w:r w:rsidR="00D56CE2" w:rsidRPr="00D56CE2">
        <w:rPr>
          <w:rFonts w:ascii="Arial" w:hAnsi="Arial" w:cs="Arial"/>
          <w:b/>
          <w:sz w:val="20"/>
          <w:szCs w:val="20"/>
        </w:rPr>
        <w:t xml:space="preserve"> měsíců po ukončení vlastní SOD na projektovou </w:t>
      </w:r>
      <w:r w:rsidR="00D56CE2">
        <w:rPr>
          <w:rFonts w:ascii="Arial" w:hAnsi="Arial" w:cs="Arial"/>
          <w:b/>
          <w:sz w:val="20"/>
          <w:szCs w:val="20"/>
        </w:rPr>
        <w:t xml:space="preserve">dokumentaci </w:t>
      </w:r>
      <w:r w:rsidR="00D56CE2" w:rsidRPr="00D56CE2">
        <w:rPr>
          <w:rFonts w:ascii="Arial" w:hAnsi="Arial" w:cs="Arial"/>
          <w:b/>
          <w:sz w:val="20"/>
          <w:szCs w:val="20"/>
        </w:rPr>
        <w:t xml:space="preserve">a realizaci stavby </w:t>
      </w:r>
      <w:r w:rsidR="00D56CE2" w:rsidRPr="00D56CE2">
        <w:rPr>
          <w:rFonts w:ascii="Arial" w:hAnsi="Arial" w:cs="Arial"/>
          <w:b/>
          <w:sz w:val="20"/>
          <w:szCs w:val="20"/>
        </w:rPr>
        <w:tab/>
        <w:t xml:space="preserve">(předpoklad </w:t>
      </w:r>
      <w:r w:rsidR="00D56CE2">
        <w:rPr>
          <w:rFonts w:ascii="Arial" w:hAnsi="Arial" w:cs="Arial"/>
          <w:b/>
          <w:sz w:val="20"/>
          <w:szCs w:val="20"/>
        </w:rPr>
        <w:t>03</w:t>
      </w:r>
      <w:r w:rsidR="00D56CE2" w:rsidRPr="00D56CE2">
        <w:rPr>
          <w:rFonts w:ascii="Arial" w:hAnsi="Arial" w:cs="Arial"/>
          <w:b/>
          <w:sz w:val="20"/>
          <w:szCs w:val="20"/>
        </w:rPr>
        <w:t xml:space="preserve"> / 2021)</w:t>
      </w:r>
    </w:p>
    <w:p w:rsidR="00B51580" w:rsidRPr="00FC6698" w:rsidRDefault="00D56CE2" w:rsidP="00290640">
      <w:pPr>
        <w:suppressAutoHyphens/>
        <w:jc w:val="both"/>
        <w:rPr>
          <w:rFonts w:ascii="Arial" w:hAnsi="Arial" w:cs="Arial"/>
          <w:b/>
          <w:sz w:val="20"/>
          <w:szCs w:val="20"/>
        </w:rPr>
      </w:pPr>
      <w:r>
        <w:rPr>
          <w:rFonts w:ascii="Arial" w:hAnsi="Arial" w:cs="Arial"/>
          <w:b/>
          <w:sz w:val="20"/>
          <w:szCs w:val="20"/>
        </w:rPr>
        <w:t xml:space="preserve">                       </w:t>
      </w:r>
    </w:p>
    <w:p w:rsidR="00907DFA" w:rsidRPr="00B51580" w:rsidRDefault="00907DFA" w:rsidP="00D56CE2">
      <w:pPr>
        <w:suppressAutoHyphens/>
        <w:spacing w:before="120"/>
        <w:ind w:left="567" w:hanging="567"/>
        <w:jc w:val="both"/>
        <w:rPr>
          <w:rFonts w:ascii="Arial" w:eastAsia="Calibri" w:hAnsi="Arial" w:cs="Arial"/>
          <w:sz w:val="20"/>
          <w:szCs w:val="20"/>
          <w:lang w:eastAsia="en-US"/>
        </w:rPr>
      </w:pPr>
      <w:r w:rsidRPr="00B51580">
        <w:rPr>
          <w:rFonts w:ascii="Arial" w:hAnsi="Arial" w:cs="Arial"/>
          <w:b/>
          <w:sz w:val="20"/>
          <w:szCs w:val="20"/>
        </w:rPr>
        <w:t xml:space="preserve">4.3.  </w:t>
      </w:r>
      <w:r w:rsidR="00B51580" w:rsidRPr="00B51580">
        <w:rPr>
          <w:rFonts w:ascii="Arial" w:hAnsi="Arial" w:cs="Arial"/>
          <w:sz w:val="20"/>
          <w:szCs w:val="20"/>
        </w:rPr>
        <w:t xml:space="preserve">Místem plnění je </w:t>
      </w:r>
      <w:r w:rsidR="00B51580" w:rsidRPr="00B51580">
        <w:rPr>
          <w:rFonts w:ascii="Arial" w:eastAsia="Calibri" w:hAnsi="Arial" w:cs="Arial"/>
          <w:sz w:val="20"/>
          <w:szCs w:val="20"/>
          <w:lang w:eastAsia="en-US"/>
        </w:rPr>
        <w:t xml:space="preserve">staveniště a bezprostřední okolí stavby: </w:t>
      </w:r>
      <w:r w:rsidR="00B51580" w:rsidRPr="00B51580">
        <w:rPr>
          <w:rFonts w:ascii="Arial" w:hAnsi="Arial" w:cs="Arial"/>
          <w:sz w:val="20"/>
          <w:szCs w:val="20"/>
        </w:rPr>
        <w:t>„</w:t>
      </w:r>
      <w:r w:rsidR="00D56CE2" w:rsidRPr="00D56CE2">
        <w:rPr>
          <w:rFonts w:ascii="Arial" w:hAnsi="Arial" w:cs="Arial"/>
          <w:b/>
          <w:sz w:val="20"/>
          <w:szCs w:val="20"/>
        </w:rPr>
        <w:t xml:space="preserve">Sanace </w:t>
      </w:r>
      <w:r w:rsidR="00D56CE2">
        <w:rPr>
          <w:rFonts w:ascii="Arial" w:hAnsi="Arial" w:cs="Arial"/>
          <w:b/>
          <w:sz w:val="20"/>
          <w:szCs w:val="20"/>
        </w:rPr>
        <w:t xml:space="preserve">nestabilních náspů </w:t>
      </w:r>
      <w:proofErr w:type="gramStart"/>
      <w:r w:rsidR="00D56CE2">
        <w:rPr>
          <w:rFonts w:ascii="Arial" w:hAnsi="Arial" w:cs="Arial"/>
          <w:b/>
          <w:sz w:val="20"/>
          <w:szCs w:val="20"/>
        </w:rPr>
        <w:t xml:space="preserve">zemního    </w:t>
      </w:r>
      <w:r w:rsidR="00D56CE2" w:rsidRPr="00D56CE2">
        <w:rPr>
          <w:rFonts w:ascii="Arial" w:hAnsi="Arial" w:cs="Arial"/>
          <w:b/>
          <w:sz w:val="20"/>
          <w:szCs w:val="20"/>
        </w:rPr>
        <w:t>tělesa</w:t>
      </w:r>
      <w:proofErr w:type="gramEnd"/>
      <w:r w:rsidR="00D56CE2" w:rsidRPr="00D56CE2">
        <w:rPr>
          <w:rFonts w:ascii="Arial" w:hAnsi="Arial" w:cs="Arial"/>
          <w:b/>
          <w:sz w:val="20"/>
          <w:szCs w:val="20"/>
        </w:rPr>
        <w:t xml:space="preserve"> v úseku Hájek - Dalovice</w:t>
      </w:r>
      <w:r w:rsidR="00B51580" w:rsidRPr="00B51580">
        <w:rPr>
          <w:rFonts w:ascii="Arial" w:hAnsi="Arial" w:cs="Arial"/>
          <w:sz w:val="20"/>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lastRenderedPageBreak/>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železniční dopravní cesty,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B551A8" w:rsidRPr="00FC6698" w:rsidRDefault="00B551A8" w:rsidP="005305B5">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5305B5" w:rsidRDefault="005305B5" w:rsidP="00290640">
      <w:pPr>
        <w:pStyle w:val="Nadpis1"/>
        <w:keepNext w:val="0"/>
        <w:widowControl w:val="0"/>
        <w:spacing w:after="0"/>
        <w:rPr>
          <w:sz w:val="24"/>
          <w:szCs w:val="20"/>
          <w:u w:val="single"/>
        </w:rPr>
      </w:pP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titul"/>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r w:rsidR="004B2E25" w:rsidRPr="00FC6698">
        <w:rPr>
          <w:b w:val="0"/>
          <w:sz w:val="20"/>
          <w:szCs w:val="20"/>
          <w:u w:val="none"/>
        </w:rPr>
        <w:t>2615</w:t>
      </w:r>
      <w:r w:rsidRPr="00FC6698">
        <w:rPr>
          <w:b w:val="0"/>
          <w:sz w:val="20"/>
          <w:szCs w:val="20"/>
          <w:u w:val="none"/>
        </w:rPr>
        <w:t xml:space="preserve"> a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titul"/>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titul"/>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lastRenderedPageBreak/>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0F5262" w:rsidRPr="00FC6698" w:rsidRDefault="000F5262" w:rsidP="000F5262">
      <w:pPr>
        <w:spacing w:before="120"/>
        <w:ind w:left="567" w:hanging="709"/>
        <w:jc w:val="both"/>
        <w:rPr>
          <w:rFonts w:ascii="Arial" w:hAnsi="Arial" w:cs="Arial"/>
          <w:sz w:val="20"/>
          <w:szCs w:val="20"/>
        </w:rPr>
      </w:pPr>
      <w:proofErr w:type="gramStart"/>
      <w:r w:rsidRPr="00FC6698">
        <w:rPr>
          <w:rFonts w:ascii="Arial" w:hAnsi="Arial" w:cs="Arial"/>
          <w:b/>
          <w:sz w:val="20"/>
          <w:szCs w:val="20"/>
        </w:rPr>
        <w:t>9.4</w:t>
      </w:r>
      <w:proofErr w:type="gramEnd"/>
      <w:r w:rsidRPr="00FC6698">
        <w:rPr>
          <w:rFonts w:ascii="Arial" w:hAnsi="Arial" w:cs="Arial"/>
          <w:b/>
          <w:sz w:val="20"/>
          <w:szCs w:val="20"/>
        </w:rPr>
        <w:t>.</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lastRenderedPageBreak/>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Tato Smlouva je vyhotovena ve</w:t>
      </w:r>
      <w:r w:rsidR="001E2B63" w:rsidRPr="001E2B63">
        <w:rPr>
          <w:rFonts w:ascii="Arial" w:hAnsi="Arial" w:cs="Arial"/>
          <w:b/>
          <w:sz w:val="20"/>
          <w:szCs w:val="20"/>
        </w:rPr>
        <w:t xml:space="preserve"> </w:t>
      </w:r>
      <w:r w:rsidR="001E2B63" w:rsidRPr="00D56CE2">
        <w:rPr>
          <w:rFonts w:ascii="Arial" w:hAnsi="Arial" w:cs="Arial"/>
          <w:b/>
          <w:sz w:val="20"/>
          <w:szCs w:val="20"/>
        </w:rPr>
        <w:t>čtyřech (4)</w:t>
      </w:r>
      <w:r w:rsidR="001E2B63" w:rsidRPr="00D56CE2">
        <w:rPr>
          <w:rFonts w:ascii="Arial" w:hAnsi="Arial" w:cs="Arial"/>
          <w:sz w:val="20"/>
          <w:szCs w:val="20"/>
        </w:rPr>
        <w:t xml:space="preserve"> vyhotoveních, z nichž </w:t>
      </w:r>
      <w:r w:rsidR="001E2B63" w:rsidRPr="00D56CE2">
        <w:rPr>
          <w:rFonts w:ascii="Arial" w:hAnsi="Arial" w:cs="Arial"/>
          <w:b/>
          <w:sz w:val="20"/>
          <w:szCs w:val="20"/>
        </w:rPr>
        <w:t>dvě (2)</w:t>
      </w:r>
      <w:r w:rsidR="001E2B63" w:rsidRPr="00D56CE2">
        <w:rPr>
          <w:rFonts w:ascii="Arial" w:hAnsi="Arial" w:cs="Arial"/>
          <w:sz w:val="20"/>
          <w:szCs w:val="20"/>
        </w:rPr>
        <w:t xml:space="preserve"> vyhotovení obdrží objednatel a </w:t>
      </w:r>
      <w:r w:rsidR="001E2B63" w:rsidRPr="00D56CE2">
        <w:rPr>
          <w:rFonts w:ascii="Arial" w:hAnsi="Arial" w:cs="Arial"/>
          <w:b/>
          <w:sz w:val="20"/>
          <w:szCs w:val="20"/>
        </w:rPr>
        <w:t>dvě (2)</w:t>
      </w:r>
      <w:r w:rsidR="001E2B63" w:rsidRPr="00D56CE2">
        <w:rPr>
          <w:rFonts w:ascii="Arial" w:hAnsi="Arial" w:cs="Arial"/>
          <w:sz w:val="20"/>
          <w:szCs w:val="20"/>
        </w:rPr>
        <w:t xml:space="preserve"> vyhotovení obdrží zhotovitel</w:t>
      </w:r>
      <w:r w:rsidR="001E2B63" w:rsidRPr="001E2B63">
        <w:rPr>
          <w:rFonts w:ascii="Arial" w:hAnsi="Arial" w:cs="Arial"/>
          <w:sz w:val="20"/>
          <w:szCs w:val="20"/>
        </w:rPr>
        <w:t>.</w:t>
      </w:r>
    </w:p>
    <w:p w:rsidR="000F5262" w:rsidRPr="00FC6698" w:rsidRDefault="000F5262" w:rsidP="00360D1F">
      <w:pPr>
        <w:spacing w:before="120" w:after="120"/>
        <w:ind w:left="567" w:hanging="709"/>
        <w:jc w:val="both"/>
        <w:rPr>
          <w:rFonts w:ascii="Arial" w:hAnsi="Arial" w:cs="Arial"/>
          <w:sz w:val="20"/>
          <w:szCs w:val="20"/>
        </w:rPr>
      </w:pPr>
      <w:r w:rsidRPr="00FC6698">
        <w:rPr>
          <w:rFonts w:ascii="Arial" w:hAnsi="Arial" w:cs="Arial"/>
          <w:b/>
          <w:sz w:val="20"/>
          <w:szCs w:val="20"/>
        </w:rPr>
        <w:t>9.1</w:t>
      </w:r>
      <w:r w:rsidR="00360D1F" w:rsidRPr="00FC6698">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783F0E" w:rsidRPr="00FC6698" w:rsidRDefault="000F5262" w:rsidP="000F5262">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783F0E" w:rsidRPr="00FC6698" w:rsidRDefault="00783F0E" w:rsidP="000F5262">
      <w:pPr>
        <w:suppressAutoHyphens/>
        <w:ind w:left="567" w:hanging="567"/>
        <w:jc w:val="both"/>
        <w:rPr>
          <w:rFonts w:ascii="Arial" w:hAnsi="Arial" w:cs="Arial"/>
          <w:sz w:val="20"/>
          <w:szCs w:val="20"/>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D56CE2">
        <w:rPr>
          <w:rFonts w:ascii="Arial" w:hAnsi="Arial" w:cs="Arial"/>
          <w:sz w:val="20"/>
          <w:szCs w:val="21"/>
        </w:rPr>
        <w:t xml:space="preserve">…………………………………                              </w:t>
      </w:r>
      <w:r w:rsidR="005E130C" w:rsidRPr="00D56CE2">
        <w:rPr>
          <w:rFonts w:ascii="Arial" w:hAnsi="Arial" w:cs="Arial"/>
          <w:sz w:val="20"/>
          <w:szCs w:val="21"/>
        </w:rPr>
        <w:t xml:space="preserve">              </w:t>
      </w:r>
      <w:r w:rsidR="007B1DF5" w:rsidRPr="00D56CE2">
        <w:rPr>
          <w:rFonts w:ascii="Arial" w:hAnsi="Arial" w:cs="Arial"/>
          <w:sz w:val="20"/>
          <w:szCs w:val="21"/>
        </w:rPr>
        <w:t>………</w:t>
      </w:r>
      <w:r w:rsidR="005E130C" w:rsidRPr="00D56CE2">
        <w:rPr>
          <w:rFonts w:ascii="Arial" w:hAnsi="Arial" w:cs="Arial"/>
          <w:sz w:val="20"/>
          <w:szCs w:val="21"/>
        </w:rPr>
        <w:t>….</w:t>
      </w:r>
      <w:r w:rsidRPr="00D56CE2">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Petr Hofhanzl</w:t>
      </w:r>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Default="00983284">
      <w:pPr>
        <w:tabs>
          <w:tab w:val="left" w:pos="6237"/>
        </w:tabs>
        <w:suppressAutoHyphens/>
        <w:jc w:val="both"/>
        <w:rPr>
          <w:rFonts w:ascii="Arial" w:hAnsi="Arial" w:cs="Arial"/>
          <w:sz w:val="21"/>
          <w:szCs w:val="21"/>
        </w:rPr>
      </w:pPr>
    </w:p>
    <w:p w:rsidR="00D56CE2" w:rsidRDefault="00D56CE2">
      <w:pPr>
        <w:tabs>
          <w:tab w:val="left" w:pos="6237"/>
        </w:tabs>
        <w:suppressAutoHyphens/>
        <w:jc w:val="both"/>
        <w:rPr>
          <w:rFonts w:ascii="Arial" w:hAnsi="Arial" w:cs="Arial"/>
          <w:sz w:val="21"/>
          <w:szCs w:val="21"/>
        </w:rPr>
      </w:pPr>
    </w:p>
    <w:p w:rsidR="00D56CE2" w:rsidRDefault="00D56CE2">
      <w:pPr>
        <w:tabs>
          <w:tab w:val="left" w:pos="6237"/>
        </w:tabs>
        <w:suppressAutoHyphens/>
        <w:jc w:val="both"/>
        <w:rPr>
          <w:rFonts w:ascii="Arial" w:hAnsi="Arial" w:cs="Arial"/>
          <w:sz w:val="21"/>
          <w:szCs w:val="21"/>
        </w:rPr>
      </w:pPr>
    </w:p>
    <w:p w:rsidR="00D56CE2" w:rsidRDefault="00D56CE2">
      <w:pPr>
        <w:tabs>
          <w:tab w:val="left" w:pos="6237"/>
        </w:tabs>
        <w:suppressAutoHyphens/>
        <w:jc w:val="both"/>
        <w:rPr>
          <w:rFonts w:ascii="Arial" w:hAnsi="Arial" w:cs="Arial"/>
          <w:sz w:val="21"/>
          <w:szCs w:val="21"/>
        </w:rPr>
      </w:pPr>
    </w:p>
    <w:p w:rsidR="00D56CE2" w:rsidRDefault="00D56CE2">
      <w:pPr>
        <w:tabs>
          <w:tab w:val="left" w:pos="6237"/>
        </w:tabs>
        <w:suppressAutoHyphens/>
        <w:jc w:val="both"/>
        <w:rPr>
          <w:rFonts w:ascii="Arial" w:hAnsi="Arial" w:cs="Arial"/>
          <w:sz w:val="21"/>
          <w:szCs w:val="21"/>
        </w:rPr>
      </w:pPr>
    </w:p>
    <w:p w:rsidR="00D56CE2" w:rsidRDefault="00D56CE2">
      <w:pPr>
        <w:tabs>
          <w:tab w:val="left" w:pos="6237"/>
        </w:tabs>
        <w:suppressAutoHyphens/>
        <w:jc w:val="both"/>
        <w:rPr>
          <w:rFonts w:ascii="Arial" w:hAnsi="Arial" w:cs="Arial"/>
          <w:sz w:val="21"/>
          <w:szCs w:val="21"/>
        </w:rPr>
        <w:sectPr w:rsidR="00D56CE2" w:rsidSect="00AD1DD5">
          <w:headerReference w:type="default" r:id="rId10"/>
          <w:footerReference w:type="even" r:id="rId11"/>
          <w:footerReference w:type="default" r:id="rId12"/>
          <w:headerReference w:type="first" r:id="rId13"/>
          <w:footerReference w:type="first" r:id="rId14"/>
          <w:pgSz w:w="11906" w:h="16838" w:code="9"/>
          <w:pgMar w:top="1418" w:right="1418" w:bottom="1276" w:left="1418" w:header="709" w:footer="709" w:gutter="0"/>
          <w:cols w:space="708"/>
          <w:titlePg/>
          <w:docGrid w:linePitch="360"/>
        </w:sectPr>
      </w:pPr>
    </w:p>
    <w:p w:rsidR="00D56CE2" w:rsidRPr="00D56CE2" w:rsidRDefault="00D56CE2" w:rsidP="00D56CE2">
      <w:pPr>
        <w:tabs>
          <w:tab w:val="left" w:pos="6237"/>
        </w:tabs>
        <w:suppressAutoHyphens/>
        <w:jc w:val="center"/>
        <w:rPr>
          <w:rFonts w:ascii="Arial" w:hAnsi="Arial" w:cs="Arial"/>
          <w:sz w:val="20"/>
          <w:szCs w:val="20"/>
        </w:rPr>
      </w:pPr>
      <w:r w:rsidRPr="00D56CE2">
        <w:rPr>
          <w:rFonts w:ascii="Arial" w:hAnsi="Arial" w:cs="Arial"/>
          <w:sz w:val="20"/>
          <w:szCs w:val="20"/>
        </w:rPr>
        <w:lastRenderedPageBreak/>
        <w:t>Příloha č. 1 SOD GKC – Rozpis nabídkové ceny</w:t>
      </w:r>
    </w:p>
    <w:p w:rsidR="00D56CE2" w:rsidRPr="00D56CE2" w:rsidRDefault="00D56CE2" w:rsidP="00D56CE2">
      <w:pPr>
        <w:tabs>
          <w:tab w:val="left" w:pos="6237"/>
        </w:tabs>
        <w:suppressAutoHyphens/>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7513"/>
        <w:gridCol w:w="850"/>
        <w:gridCol w:w="1276"/>
        <w:gridCol w:w="1843"/>
        <w:gridCol w:w="1851"/>
      </w:tblGrid>
      <w:tr w:rsidR="00D56CE2" w:rsidRPr="00D56CE2" w:rsidTr="008C0B7E">
        <w:trPr>
          <w:trHeight w:val="291"/>
        </w:trPr>
        <w:tc>
          <w:tcPr>
            <w:tcW w:w="959"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položka</w:t>
            </w:r>
          </w:p>
        </w:tc>
        <w:tc>
          <w:tcPr>
            <w:tcW w:w="7513"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Popis položky</w:t>
            </w:r>
          </w:p>
        </w:tc>
        <w:tc>
          <w:tcPr>
            <w:tcW w:w="850" w:type="dxa"/>
            <w:shd w:val="clear" w:color="auto" w:fill="auto"/>
          </w:tcPr>
          <w:p w:rsidR="00D56CE2" w:rsidRPr="00D56CE2" w:rsidRDefault="00D56CE2" w:rsidP="008C0B7E">
            <w:pPr>
              <w:tabs>
                <w:tab w:val="left" w:pos="6237"/>
              </w:tabs>
              <w:suppressAutoHyphens/>
              <w:rPr>
                <w:rFonts w:ascii="Arial" w:hAnsi="Arial" w:cs="Arial"/>
                <w:sz w:val="20"/>
                <w:szCs w:val="20"/>
              </w:rPr>
            </w:pPr>
            <w:proofErr w:type="spellStart"/>
            <w:proofErr w:type="gramStart"/>
            <w:r w:rsidRPr="00D56CE2">
              <w:rPr>
                <w:rFonts w:ascii="Arial" w:hAnsi="Arial" w:cs="Arial"/>
                <w:sz w:val="20"/>
                <w:szCs w:val="20"/>
              </w:rPr>
              <w:t>m.j</w:t>
            </w:r>
            <w:proofErr w:type="spellEnd"/>
            <w:r w:rsidRPr="00D56CE2">
              <w:rPr>
                <w:rFonts w:ascii="Arial" w:hAnsi="Arial" w:cs="Arial"/>
                <w:sz w:val="20"/>
                <w:szCs w:val="20"/>
              </w:rPr>
              <w:t>.</w:t>
            </w:r>
            <w:proofErr w:type="gramEnd"/>
          </w:p>
        </w:tc>
        <w:tc>
          <w:tcPr>
            <w:tcW w:w="1276"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 xml:space="preserve">počet </w:t>
            </w:r>
            <w:proofErr w:type="spellStart"/>
            <w:proofErr w:type="gramStart"/>
            <w:r w:rsidRPr="00D56CE2">
              <w:rPr>
                <w:rFonts w:ascii="Arial" w:hAnsi="Arial" w:cs="Arial"/>
                <w:sz w:val="20"/>
                <w:szCs w:val="20"/>
              </w:rPr>
              <w:t>m.j</w:t>
            </w:r>
            <w:proofErr w:type="spellEnd"/>
            <w:r w:rsidRPr="00D56CE2">
              <w:rPr>
                <w:rFonts w:ascii="Arial" w:hAnsi="Arial" w:cs="Arial"/>
                <w:sz w:val="20"/>
                <w:szCs w:val="20"/>
              </w:rPr>
              <w:t>.</w:t>
            </w:r>
            <w:proofErr w:type="gramEnd"/>
          </w:p>
        </w:tc>
        <w:tc>
          <w:tcPr>
            <w:tcW w:w="1843"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 xml:space="preserve">cena za </w:t>
            </w:r>
            <w:proofErr w:type="spellStart"/>
            <w:proofErr w:type="gramStart"/>
            <w:r w:rsidRPr="00D56CE2">
              <w:rPr>
                <w:rFonts w:ascii="Arial" w:hAnsi="Arial" w:cs="Arial"/>
                <w:sz w:val="20"/>
                <w:szCs w:val="20"/>
              </w:rPr>
              <w:t>m.j</w:t>
            </w:r>
            <w:proofErr w:type="spellEnd"/>
            <w:r w:rsidRPr="00D56CE2">
              <w:rPr>
                <w:rFonts w:ascii="Arial" w:hAnsi="Arial" w:cs="Arial"/>
                <w:sz w:val="20"/>
                <w:szCs w:val="20"/>
              </w:rPr>
              <w:t>. Kč</w:t>
            </w:r>
            <w:proofErr w:type="gramEnd"/>
          </w:p>
        </w:tc>
        <w:tc>
          <w:tcPr>
            <w:tcW w:w="1851"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cena celkem Kč</w:t>
            </w:r>
          </w:p>
        </w:tc>
      </w:tr>
      <w:tr w:rsidR="00D56CE2" w:rsidRPr="00D56CE2" w:rsidTr="008C0B7E">
        <w:trPr>
          <w:trHeight w:val="291"/>
        </w:trPr>
        <w:tc>
          <w:tcPr>
            <w:tcW w:w="959"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1.</w:t>
            </w:r>
          </w:p>
        </w:tc>
        <w:tc>
          <w:tcPr>
            <w:tcW w:w="7513" w:type="dxa"/>
            <w:shd w:val="clear" w:color="auto" w:fill="auto"/>
          </w:tcPr>
          <w:p w:rsidR="00D56CE2" w:rsidRPr="00D56CE2" w:rsidRDefault="00D56CE2" w:rsidP="00427991">
            <w:pPr>
              <w:tabs>
                <w:tab w:val="left" w:pos="6237"/>
              </w:tabs>
              <w:suppressAutoHyphens/>
              <w:jc w:val="both"/>
              <w:rPr>
                <w:rFonts w:ascii="Arial" w:hAnsi="Arial" w:cs="Arial"/>
                <w:sz w:val="20"/>
                <w:szCs w:val="20"/>
              </w:rPr>
            </w:pPr>
            <w:r w:rsidRPr="00D56CE2">
              <w:rPr>
                <w:rFonts w:ascii="Arial" w:hAnsi="Arial" w:cs="Arial"/>
                <w:b/>
                <w:sz w:val="20"/>
                <w:szCs w:val="20"/>
              </w:rPr>
              <w:t>Kontrolní a dozorová geotechnická činnost</w:t>
            </w:r>
            <w:r w:rsidRPr="00D56CE2">
              <w:rPr>
                <w:rFonts w:ascii="Arial" w:hAnsi="Arial" w:cs="Arial"/>
                <w:sz w:val="20"/>
                <w:szCs w:val="20"/>
              </w:rPr>
              <w:t xml:space="preserve"> – nepřetržitý dozor v průběhu </w:t>
            </w:r>
          </w:p>
          <w:p w:rsidR="00D56CE2" w:rsidRPr="00D56CE2" w:rsidRDefault="00D56CE2" w:rsidP="00427991">
            <w:pPr>
              <w:tabs>
                <w:tab w:val="left" w:pos="6237"/>
              </w:tabs>
              <w:suppressAutoHyphens/>
              <w:jc w:val="both"/>
              <w:rPr>
                <w:rFonts w:ascii="Arial" w:hAnsi="Arial" w:cs="Arial"/>
                <w:sz w:val="20"/>
                <w:szCs w:val="20"/>
              </w:rPr>
            </w:pPr>
            <w:r w:rsidRPr="00D56CE2">
              <w:rPr>
                <w:rFonts w:ascii="Arial" w:hAnsi="Arial" w:cs="Arial"/>
                <w:sz w:val="20"/>
                <w:szCs w:val="20"/>
              </w:rPr>
              <w:t>odtěžování</w:t>
            </w:r>
            <w:r w:rsidR="006717A9">
              <w:rPr>
                <w:rFonts w:ascii="Arial" w:hAnsi="Arial" w:cs="Arial"/>
                <w:sz w:val="20"/>
                <w:szCs w:val="20"/>
              </w:rPr>
              <w:t xml:space="preserve">, </w:t>
            </w:r>
            <w:r w:rsidRPr="00D56CE2">
              <w:rPr>
                <w:rFonts w:ascii="Arial" w:hAnsi="Arial" w:cs="Arial"/>
                <w:sz w:val="20"/>
                <w:szCs w:val="20"/>
              </w:rPr>
              <w:t>instalace měřících kontrolních profilů, budování vyztuženého zemního tělesa, včetně provádění průběžných kontrolních zkouš</w:t>
            </w:r>
            <w:r w:rsidR="006717A9">
              <w:rPr>
                <w:rFonts w:ascii="Arial" w:hAnsi="Arial" w:cs="Arial"/>
                <w:sz w:val="20"/>
                <w:szCs w:val="20"/>
              </w:rPr>
              <w:t>ek, vy</w:t>
            </w:r>
            <w:r w:rsidRPr="00D56CE2">
              <w:rPr>
                <w:rFonts w:ascii="Arial" w:hAnsi="Arial" w:cs="Arial"/>
                <w:sz w:val="20"/>
                <w:szCs w:val="20"/>
              </w:rPr>
              <w:t>pracování závěrečné zprávy o průběhu výstavby a výsledcích kontrolních měření s vyhodnocením provedených sanačních opatření ve vztahu ke kvalitě prováděného díla</w:t>
            </w:r>
          </w:p>
        </w:tc>
        <w:tc>
          <w:tcPr>
            <w:tcW w:w="850"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r w:rsidRPr="00D56CE2">
              <w:rPr>
                <w:rFonts w:ascii="Arial" w:hAnsi="Arial" w:cs="Arial"/>
                <w:sz w:val="20"/>
                <w:szCs w:val="20"/>
              </w:rPr>
              <w:t>h</w:t>
            </w:r>
          </w:p>
        </w:tc>
        <w:tc>
          <w:tcPr>
            <w:tcW w:w="1276"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51"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r>
      <w:tr w:rsidR="00D56CE2" w:rsidRPr="00D56CE2" w:rsidTr="008C0B7E">
        <w:trPr>
          <w:trHeight w:val="273"/>
        </w:trPr>
        <w:tc>
          <w:tcPr>
            <w:tcW w:w="959"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2.</w:t>
            </w:r>
          </w:p>
        </w:tc>
        <w:tc>
          <w:tcPr>
            <w:tcW w:w="7513" w:type="dxa"/>
            <w:shd w:val="clear" w:color="auto" w:fill="auto"/>
          </w:tcPr>
          <w:p w:rsidR="00D56CE2" w:rsidRPr="00D56CE2" w:rsidRDefault="00D56CE2" w:rsidP="00427991">
            <w:pPr>
              <w:tabs>
                <w:tab w:val="left" w:pos="6237"/>
              </w:tabs>
              <w:suppressAutoHyphens/>
              <w:jc w:val="both"/>
              <w:rPr>
                <w:rFonts w:ascii="Arial" w:hAnsi="Arial" w:cs="Arial"/>
                <w:sz w:val="20"/>
                <w:szCs w:val="20"/>
              </w:rPr>
            </w:pPr>
            <w:r w:rsidRPr="00D56CE2">
              <w:rPr>
                <w:rFonts w:ascii="Arial" w:hAnsi="Arial" w:cs="Arial"/>
                <w:b/>
                <w:sz w:val="20"/>
                <w:szCs w:val="20"/>
              </w:rPr>
              <w:t xml:space="preserve">Laboratorní práce a polní </w:t>
            </w:r>
            <w:proofErr w:type="gramStart"/>
            <w:r w:rsidRPr="00D56CE2">
              <w:rPr>
                <w:rFonts w:ascii="Arial" w:hAnsi="Arial" w:cs="Arial"/>
                <w:b/>
                <w:sz w:val="20"/>
                <w:szCs w:val="20"/>
              </w:rPr>
              <w:t>zkoušky</w:t>
            </w:r>
            <w:r w:rsidR="001470D3">
              <w:rPr>
                <w:rFonts w:ascii="Arial" w:hAnsi="Arial" w:cs="Arial"/>
                <w:b/>
                <w:sz w:val="20"/>
                <w:szCs w:val="20"/>
              </w:rPr>
              <w:t xml:space="preserve"> </w:t>
            </w:r>
            <w:r w:rsidR="001470D3" w:rsidRPr="001470D3">
              <w:rPr>
                <w:rFonts w:ascii="Arial" w:hAnsi="Arial" w:cs="Arial"/>
                <w:sz w:val="20"/>
                <w:szCs w:val="20"/>
              </w:rPr>
              <w:t>–</w:t>
            </w:r>
            <w:r w:rsidR="006717A9">
              <w:rPr>
                <w:rFonts w:ascii="Arial" w:hAnsi="Arial" w:cs="Arial"/>
                <w:b/>
                <w:sz w:val="20"/>
                <w:szCs w:val="20"/>
              </w:rPr>
              <w:t xml:space="preserve"> </w:t>
            </w:r>
            <w:r w:rsidR="001470D3">
              <w:rPr>
                <w:rFonts w:ascii="Arial" w:hAnsi="Arial" w:cs="Arial"/>
                <w:sz w:val="20"/>
                <w:szCs w:val="20"/>
              </w:rPr>
              <w:t xml:space="preserve"> podloží</w:t>
            </w:r>
            <w:proofErr w:type="gramEnd"/>
            <w:r w:rsidR="001470D3">
              <w:rPr>
                <w:rFonts w:ascii="Arial" w:hAnsi="Arial" w:cs="Arial"/>
                <w:sz w:val="20"/>
                <w:szCs w:val="20"/>
              </w:rPr>
              <w:t xml:space="preserve"> náspu</w:t>
            </w:r>
            <w:r w:rsidRPr="00D56CE2">
              <w:rPr>
                <w:rFonts w:ascii="Arial" w:hAnsi="Arial" w:cs="Arial"/>
                <w:sz w:val="20"/>
                <w:szCs w:val="20"/>
              </w:rPr>
              <w:t xml:space="preserve"> vyztuženého zemního tělesa a vlastního náspu (aktivní zóna, zemní pláň, pláň železničního spodku) provedené ve zvýšeném (dvojnásobném) rozsahu kontrolních zkoušek dle TKP staveb státních drah, do kontrolních zkoušek budou zařazeny jak dotčen</w:t>
            </w:r>
            <w:r w:rsidR="006717A9">
              <w:rPr>
                <w:rFonts w:ascii="Arial" w:hAnsi="Arial" w:cs="Arial"/>
                <w:sz w:val="20"/>
                <w:szCs w:val="20"/>
              </w:rPr>
              <w:t xml:space="preserve">é zeminy, </w:t>
            </w:r>
            <w:r w:rsidR="001470D3">
              <w:rPr>
                <w:rFonts w:ascii="Arial" w:hAnsi="Arial" w:cs="Arial"/>
                <w:sz w:val="20"/>
                <w:szCs w:val="20"/>
              </w:rPr>
              <w:t xml:space="preserve">tak i </w:t>
            </w:r>
            <w:r w:rsidRPr="00D56CE2">
              <w:rPr>
                <w:rFonts w:ascii="Arial" w:hAnsi="Arial" w:cs="Arial"/>
                <w:sz w:val="20"/>
                <w:szCs w:val="20"/>
              </w:rPr>
              <w:t>vlastní sanační materiál</w:t>
            </w:r>
            <w:r w:rsidR="001470D3">
              <w:rPr>
                <w:rFonts w:ascii="Arial" w:hAnsi="Arial" w:cs="Arial"/>
                <w:sz w:val="20"/>
                <w:szCs w:val="20"/>
              </w:rPr>
              <w:t xml:space="preserve"> (předpoklad </w:t>
            </w:r>
            <w:proofErr w:type="spellStart"/>
            <w:r w:rsidR="001470D3">
              <w:rPr>
                <w:rFonts w:ascii="Arial" w:hAnsi="Arial" w:cs="Arial"/>
                <w:sz w:val="20"/>
                <w:szCs w:val="20"/>
              </w:rPr>
              <w:t>štěrkodrť</w:t>
            </w:r>
            <w:proofErr w:type="spellEnd"/>
            <w:r w:rsidR="001470D3">
              <w:rPr>
                <w:rFonts w:ascii="Arial" w:hAnsi="Arial" w:cs="Arial"/>
                <w:sz w:val="20"/>
                <w:szCs w:val="20"/>
              </w:rPr>
              <w:t xml:space="preserve">  ŠDA fr. 0/32 mm)</w:t>
            </w:r>
          </w:p>
        </w:tc>
        <w:tc>
          <w:tcPr>
            <w:tcW w:w="850"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r w:rsidRPr="00D56CE2">
              <w:rPr>
                <w:rFonts w:ascii="Arial" w:hAnsi="Arial" w:cs="Arial"/>
                <w:sz w:val="20"/>
                <w:szCs w:val="20"/>
              </w:rPr>
              <w:t>h</w:t>
            </w:r>
          </w:p>
        </w:tc>
        <w:tc>
          <w:tcPr>
            <w:tcW w:w="1276"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51"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r>
      <w:tr w:rsidR="00D56CE2" w:rsidRPr="00D56CE2" w:rsidTr="008C0B7E">
        <w:trPr>
          <w:trHeight w:val="291"/>
        </w:trPr>
        <w:tc>
          <w:tcPr>
            <w:tcW w:w="959"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3.</w:t>
            </w:r>
          </w:p>
        </w:tc>
        <w:tc>
          <w:tcPr>
            <w:tcW w:w="7513" w:type="dxa"/>
            <w:shd w:val="clear" w:color="auto" w:fill="auto"/>
          </w:tcPr>
          <w:p w:rsidR="00D56CE2" w:rsidRPr="00D56CE2" w:rsidRDefault="00D56CE2" w:rsidP="00427991">
            <w:pPr>
              <w:tabs>
                <w:tab w:val="left" w:pos="6237"/>
              </w:tabs>
              <w:suppressAutoHyphens/>
              <w:jc w:val="both"/>
              <w:rPr>
                <w:rFonts w:ascii="Arial" w:hAnsi="Arial" w:cs="Arial"/>
                <w:sz w:val="20"/>
                <w:szCs w:val="20"/>
              </w:rPr>
            </w:pPr>
            <w:r w:rsidRPr="00D56CE2">
              <w:rPr>
                <w:rFonts w:ascii="Arial" w:hAnsi="Arial" w:cs="Arial"/>
                <w:b/>
                <w:sz w:val="20"/>
                <w:szCs w:val="20"/>
              </w:rPr>
              <w:t>Monitoring v průběhu výstavby</w:t>
            </w:r>
            <w:r w:rsidR="001470D3">
              <w:rPr>
                <w:rFonts w:ascii="Arial" w:hAnsi="Arial" w:cs="Arial"/>
                <w:sz w:val="20"/>
                <w:szCs w:val="20"/>
              </w:rPr>
              <w:t xml:space="preserve"> – vybudování osmi</w:t>
            </w:r>
            <w:r w:rsidRPr="00D56CE2">
              <w:rPr>
                <w:rFonts w:ascii="Arial" w:hAnsi="Arial" w:cs="Arial"/>
                <w:sz w:val="20"/>
                <w:szCs w:val="20"/>
              </w:rPr>
              <w:t xml:space="preserve"> kontrolních profilů osazených geodetickými body, sledování konsolidace a sedání násypu hydrostatickou nivelací. Dodávka materiálu, instalace měřících prvků a provedení 4 měření</w:t>
            </w:r>
          </w:p>
        </w:tc>
        <w:tc>
          <w:tcPr>
            <w:tcW w:w="850"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r w:rsidRPr="00D56CE2">
              <w:rPr>
                <w:rFonts w:ascii="Arial" w:hAnsi="Arial" w:cs="Arial"/>
                <w:sz w:val="20"/>
                <w:szCs w:val="20"/>
              </w:rPr>
              <w:t>h</w:t>
            </w:r>
          </w:p>
        </w:tc>
        <w:tc>
          <w:tcPr>
            <w:tcW w:w="1276"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51"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r>
      <w:tr w:rsidR="00D56CE2" w:rsidRPr="00D56CE2" w:rsidTr="008C0B7E">
        <w:trPr>
          <w:trHeight w:val="291"/>
        </w:trPr>
        <w:tc>
          <w:tcPr>
            <w:tcW w:w="959"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4.</w:t>
            </w:r>
          </w:p>
        </w:tc>
        <w:tc>
          <w:tcPr>
            <w:tcW w:w="7513" w:type="dxa"/>
            <w:shd w:val="clear" w:color="auto" w:fill="auto"/>
          </w:tcPr>
          <w:p w:rsidR="00D56CE2" w:rsidRPr="00D56CE2" w:rsidRDefault="00D56CE2" w:rsidP="00427991">
            <w:pPr>
              <w:tabs>
                <w:tab w:val="left" w:pos="6237"/>
              </w:tabs>
              <w:suppressAutoHyphens/>
              <w:jc w:val="both"/>
              <w:rPr>
                <w:rFonts w:ascii="Arial" w:hAnsi="Arial" w:cs="Arial"/>
                <w:sz w:val="20"/>
                <w:szCs w:val="20"/>
              </w:rPr>
            </w:pPr>
            <w:r w:rsidRPr="00D56CE2">
              <w:rPr>
                <w:rFonts w:ascii="Arial" w:hAnsi="Arial" w:cs="Arial"/>
                <w:b/>
                <w:sz w:val="20"/>
                <w:szCs w:val="20"/>
              </w:rPr>
              <w:t>Monitoring po výstavbě</w:t>
            </w:r>
            <w:r w:rsidRPr="00D56CE2">
              <w:rPr>
                <w:rFonts w:ascii="Arial" w:hAnsi="Arial" w:cs="Arial"/>
                <w:sz w:val="20"/>
                <w:szCs w:val="20"/>
              </w:rPr>
              <w:t xml:space="preserve"> – ověření předpokladu statických výpočtů a cho</w:t>
            </w:r>
            <w:r w:rsidR="00427991">
              <w:rPr>
                <w:rFonts w:ascii="Arial" w:hAnsi="Arial" w:cs="Arial"/>
                <w:sz w:val="20"/>
                <w:szCs w:val="20"/>
              </w:rPr>
              <w:t>vání pří</w:t>
            </w:r>
            <w:r w:rsidRPr="00D56CE2">
              <w:rPr>
                <w:rFonts w:ascii="Arial" w:hAnsi="Arial" w:cs="Arial"/>
                <w:sz w:val="20"/>
                <w:szCs w:val="20"/>
              </w:rPr>
              <w:t>sypu z vyztužených zemin a rekonstruované části násypu pod oběma kolejemi, 4 měření včetně vyhodnocení formou zprávy</w:t>
            </w:r>
          </w:p>
        </w:tc>
        <w:tc>
          <w:tcPr>
            <w:tcW w:w="850"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r w:rsidRPr="00D56CE2">
              <w:rPr>
                <w:rFonts w:ascii="Arial" w:hAnsi="Arial" w:cs="Arial"/>
                <w:sz w:val="20"/>
                <w:szCs w:val="20"/>
              </w:rPr>
              <w:t>h</w:t>
            </w:r>
          </w:p>
        </w:tc>
        <w:tc>
          <w:tcPr>
            <w:tcW w:w="1276"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51"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r>
      <w:tr w:rsidR="00D56CE2" w:rsidRPr="00D56CE2" w:rsidTr="008C0B7E">
        <w:trPr>
          <w:trHeight w:val="291"/>
        </w:trPr>
        <w:tc>
          <w:tcPr>
            <w:tcW w:w="959" w:type="dxa"/>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5.</w:t>
            </w:r>
          </w:p>
        </w:tc>
        <w:tc>
          <w:tcPr>
            <w:tcW w:w="7513" w:type="dxa"/>
            <w:shd w:val="clear" w:color="auto" w:fill="auto"/>
          </w:tcPr>
          <w:p w:rsidR="00D56CE2" w:rsidRPr="00D56CE2" w:rsidRDefault="00D56CE2" w:rsidP="00427991">
            <w:pPr>
              <w:tabs>
                <w:tab w:val="left" w:pos="6237"/>
              </w:tabs>
              <w:suppressAutoHyphens/>
              <w:jc w:val="both"/>
              <w:rPr>
                <w:rFonts w:ascii="Arial" w:hAnsi="Arial" w:cs="Arial"/>
                <w:sz w:val="20"/>
                <w:szCs w:val="20"/>
              </w:rPr>
            </w:pPr>
            <w:r w:rsidRPr="00D56CE2">
              <w:rPr>
                <w:rFonts w:ascii="Arial" w:hAnsi="Arial" w:cs="Arial"/>
                <w:b/>
                <w:sz w:val="20"/>
                <w:szCs w:val="20"/>
              </w:rPr>
              <w:t>Kontrolní výpočet stability a sedání</w:t>
            </w:r>
            <w:r w:rsidRPr="00D56CE2">
              <w:rPr>
                <w:rFonts w:ascii="Arial" w:hAnsi="Arial" w:cs="Arial"/>
                <w:sz w:val="20"/>
                <w:szCs w:val="20"/>
              </w:rPr>
              <w:t xml:space="preserve"> – ověření předpokládaných a naměřených hodnot s ohledem na dlouhodobou spolehlivost projekčního návrhu</w:t>
            </w:r>
          </w:p>
        </w:tc>
        <w:tc>
          <w:tcPr>
            <w:tcW w:w="850"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r w:rsidRPr="00D56CE2">
              <w:rPr>
                <w:rFonts w:ascii="Arial" w:hAnsi="Arial" w:cs="Arial"/>
                <w:sz w:val="20"/>
                <w:szCs w:val="20"/>
              </w:rPr>
              <w:t>h</w:t>
            </w:r>
          </w:p>
        </w:tc>
        <w:tc>
          <w:tcPr>
            <w:tcW w:w="1276"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c>
          <w:tcPr>
            <w:tcW w:w="1851" w:type="dxa"/>
            <w:shd w:val="clear" w:color="auto" w:fill="auto"/>
          </w:tcPr>
          <w:p w:rsidR="00D56CE2" w:rsidRPr="00D56CE2" w:rsidRDefault="00D56CE2" w:rsidP="008C0B7E">
            <w:pPr>
              <w:tabs>
                <w:tab w:val="left" w:pos="6237"/>
              </w:tabs>
              <w:suppressAutoHyphens/>
              <w:jc w:val="center"/>
              <w:rPr>
                <w:rFonts w:ascii="Arial" w:hAnsi="Arial" w:cs="Arial"/>
                <w:sz w:val="20"/>
                <w:szCs w:val="20"/>
              </w:rPr>
            </w:pPr>
          </w:p>
        </w:tc>
      </w:tr>
      <w:tr w:rsidR="00D56CE2" w:rsidRPr="00D56CE2" w:rsidTr="008C0B7E">
        <w:trPr>
          <w:trHeight w:val="273"/>
        </w:trPr>
        <w:tc>
          <w:tcPr>
            <w:tcW w:w="8472" w:type="dxa"/>
            <w:gridSpan w:val="2"/>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celkem bez DPH</w:t>
            </w:r>
          </w:p>
        </w:tc>
        <w:tc>
          <w:tcPr>
            <w:tcW w:w="850"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276"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851" w:type="dxa"/>
            <w:shd w:val="clear" w:color="auto" w:fill="auto"/>
          </w:tcPr>
          <w:p w:rsidR="00D56CE2" w:rsidRPr="00D56CE2" w:rsidRDefault="00D56CE2" w:rsidP="008C0B7E">
            <w:pPr>
              <w:rPr>
                <w:rFonts w:ascii="Arial" w:hAnsi="Arial" w:cs="Arial"/>
                <w:b/>
                <w:bCs/>
                <w:color w:val="000000"/>
                <w:sz w:val="20"/>
                <w:szCs w:val="20"/>
              </w:rPr>
            </w:pPr>
          </w:p>
        </w:tc>
      </w:tr>
      <w:tr w:rsidR="00D56CE2" w:rsidRPr="00D56CE2" w:rsidTr="008C0B7E">
        <w:trPr>
          <w:trHeight w:val="291"/>
        </w:trPr>
        <w:tc>
          <w:tcPr>
            <w:tcW w:w="8472" w:type="dxa"/>
            <w:gridSpan w:val="2"/>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DPH 21 %</w:t>
            </w:r>
          </w:p>
        </w:tc>
        <w:tc>
          <w:tcPr>
            <w:tcW w:w="850"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276"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851" w:type="dxa"/>
            <w:shd w:val="clear" w:color="auto" w:fill="auto"/>
          </w:tcPr>
          <w:p w:rsidR="00D56CE2" w:rsidRPr="00D56CE2" w:rsidRDefault="00D56CE2" w:rsidP="008C0B7E">
            <w:pPr>
              <w:rPr>
                <w:rFonts w:ascii="Arial" w:hAnsi="Arial" w:cs="Arial"/>
                <w:b/>
                <w:bCs/>
                <w:color w:val="000000"/>
                <w:sz w:val="20"/>
                <w:szCs w:val="20"/>
              </w:rPr>
            </w:pPr>
          </w:p>
        </w:tc>
      </w:tr>
      <w:tr w:rsidR="00D56CE2" w:rsidRPr="00D56CE2" w:rsidTr="008C0B7E">
        <w:trPr>
          <w:trHeight w:val="291"/>
        </w:trPr>
        <w:tc>
          <w:tcPr>
            <w:tcW w:w="8472" w:type="dxa"/>
            <w:gridSpan w:val="2"/>
            <w:shd w:val="clear" w:color="auto" w:fill="auto"/>
          </w:tcPr>
          <w:p w:rsidR="00D56CE2" w:rsidRPr="00D56CE2" w:rsidRDefault="00D56CE2" w:rsidP="008C0B7E">
            <w:pPr>
              <w:tabs>
                <w:tab w:val="left" w:pos="6237"/>
              </w:tabs>
              <w:suppressAutoHyphens/>
              <w:rPr>
                <w:rFonts w:ascii="Arial" w:hAnsi="Arial" w:cs="Arial"/>
                <w:sz w:val="20"/>
                <w:szCs w:val="20"/>
              </w:rPr>
            </w:pPr>
            <w:r w:rsidRPr="00D56CE2">
              <w:rPr>
                <w:rFonts w:ascii="Arial" w:hAnsi="Arial" w:cs="Arial"/>
                <w:sz w:val="20"/>
                <w:szCs w:val="20"/>
              </w:rPr>
              <w:t>celkem včetně DPH</w:t>
            </w:r>
          </w:p>
        </w:tc>
        <w:tc>
          <w:tcPr>
            <w:tcW w:w="850"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276"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843" w:type="dxa"/>
            <w:shd w:val="clear" w:color="auto" w:fill="auto"/>
          </w:tcPr>
          <w:p w:rsidR="00D56CE2" w:rsidRPr="00D56CE2" w:rsidRDefault="00D56CE2" w:rsidP="008C0B7E">
            <w:pPr>
              <w:tabs>
                <w:tab w:val="left" w:pos="6237"/>
              </w:tabs>
              <w:suppressAutoHyphens/>
              <w:rPr>
                <w:rFonts w:ascii="Arial" w:hAnsi="Arial" w:cs="Arial"/>
                <w:sz w:val="20"/>
                <w:szCs w:val="20"/>
              </w:rPr>
            </w:pPr>
          </w:p>
        </w:tc>
        <w:tc>
          <w:tcPr>
            <w:tcW w:w="1851" w:type="dxa"/>
            <w:shd w:val="clear" w:color="auto" w:fill="auto"/>
          </w:tcPr>
          <w:p w:rsidR="00D56CE2" w:rsidRPr="00D56CE2" w:rsidRDefault="00D56CE2" w:rsidP="008C0B7E">
            <w:pPr>
              <w:rPr>
                <w:rFonts w:ascii="Arial" w:hAnsi="Arial" w:cs="Arial"/>
                <w:b/>
                <w:bCs/>
                <w:color w:val="000000"/>
                <w:sz w:val="20"/>
                <w:szCs w:val="20"/>
              </w:rPr>
            </w:pPr>
          </w:p>
        </w:tc>
      </w:tr>
    </w:tbl>
    <w:p w:rsidR="00D56CE2" w:rsidRPr="00D56CE2" w:rsidRDefault="00D56CE2">
      <w:pPr>
        <w:tabs>
          <w:tab w:val="left" w:pos="6237"/>
        </w:tabs>
        <w:suppressAutoHyphens/>
        <w:jc w:val="both"/>
        <w:rPr>
          <w:rFonts w:ascii="Arial" w:hAnsi="Arial" w:cs="Arial"/>
          <w:sz w:val="20"/>
          <w:szCs w:val="20"/>
        </w:rPr>
      </w:pPr>
    </w:p>
    <w:sectPr w:rsidR="00D56CE2" w:rsidRPr="00D56CE2" w:rsidSect="00D56CE2">
      <w:pgSz w:w="16838" w:h="11906" w:orient="landscape" w:code="9"/>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641" w:rsidRDefault="00B33641">
      <w:r>
        <w:separator/>
      </w:r>
    </w:p>
  </w:endnote>
  <w:endnote w:type="continuationSeparator" w:id="0">
    <w:p w:rsidR="00B33641" w:rsidRDefault="00B3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903891">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903891">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903891">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903891">
      <w:rPr>
        <w:rFonts w:ascii="Arial" w:hAnsi="Arial" w:cs="Arial"/>
        <w:i/>
        <w:noProof/>
        <w:sz w:val="18"/>
        <w:szCs w:val="18"/>
      </w:rPr>
      <w:t>8</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641" w:rsidRDefault="00B33641">
      <w:r>
        <w:separator/>
      </w:r>
    </w:p>
  </w:footnote>
  <w:footnote w:type="continuationSeparator" w:id="0">
    <w:p w:rsidR="00B33641" w:rsidRDefault="00B33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A5D" w:rsidRPr="00305A5D" w:rsidRDefault="00305A5D" w:rsidP="00305A5D">
    <w:pPr>
      <w:pStyle w:val="Zhlav"/>
      <w:jc w:val="right"/>
      <w:rPr>
        <w:rFonts w:ascii="Arial" w:hAnsi="Arial" w:cs="Arial"/>
        <w:sz w:val="18"/>
        <w:szCs w:val="18"/>
      </w:rPr>
    </w:pPr>
    <w:r w:rsidRPr="00305A5D">
      <w:rPr>
        <w:rFonts w:ascii="Arial" w:hAnsi="Arial" w:cs="Arial"/>
        <w:sz w:val="18"/>
        <w:szCs w:val="18"/>
      </w:rPr>
      <w:t>„Sanace nestabilních náspů zemního tělesa v úseku Hájek – Dalovice“</w:t>
    </w:r>
  </w:p>
  <w:p w:rsidR="00B51580" w:rsidRPr="00AF31C7" w:rsidRDefault="00305A5D" w:rsidP="00305A5D">
    <w:pPr>
      <w:pStyle w:val="Zhlav"/>
      <w:jc w:val="right"/>
      <w:rPr>
        <w:rFonts w:ascii="Arial" w:hAnsi="Arial" w:cs="Arial"/>
        <w:sz w:val="18"/>
        <w:szCs w:val="18"/>
      </w:rPr>
    </w:pPr>
    <w:r w:rsidRPr="00305A5D">
      <w:rPr>
        <w:rFonts w:ascii="Arial" w:hAnsi="Arial" w:cs="Arial"/>
        <w:sz w:val="18"/>
        <w:szCs w:val="18"/>
      </w:rPr>
      <w:t>Geotechnická kontrolní činnost</w:t>
    </w:r>
  </w:p>
  <w:p w:rsidR="008634D9" w:rsidRPr="00B9637E" w:rsidRDefault="008634D9" w:rsidP="00B963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A5D" w:rsidRPr="00305A5D" w:rsidRDefault="00305A5D" w:rsidP="00305A5D">
    <w:pPr>
      <w:pStyle w:val="Zhlav"/>
      <w:jc w:val="right"/>
      <w:rPr>
        <w:rFonts w:ascii="Arial" w:hAnsi="Arial" w:cs="Arial"/>
        <w:sz w:val="18"/>
        <w:szCs w:val="18"/>
      </w:rPr>
    </w:pPr>
    <w:r w:rsidRPr="00305A5D">
      <w:rPr>
        <w:rFonts w:ascii="Arial" w:hAnsi="Arial" w:cs="Arial"/>
        <w:sz w:val="18"/>
        <w:szCs w:val="18"/>
      </w:rPr>
      <w:t>„Sanace nestabilních náspů zemního tělesa v úseku Hájek – Dalovice“</w:t>
    </w:r>
  </w:p>
  <w:p w:rsidR="00B51580" w:rsidRPr="00AC5537" w:rsidRDefault="00305A5D" w:rsidP="00305A5D">
    <w:pPr>
      <w:pStyle w:val="Zhlav"/>
      <w:jc w:val="right"/>
      <w:rPr>
        <w:rFonts w:ascii="Arial" w:hAnsi="Arial" w:cs="Arial"/>
        <w:sz w:val="18"/>
        <w:szCs w:val="18"/>
      </w:rPr>
    </w:pPr>
    <w:r w:rsidRPr="00305A5D">
      <w:rPr>
        <w:rFonts w:ascii="Arial" w:hAnsi="Arial" w:cs="Arial"/>
        <w:sz w:val="18"/>
        <w:szCs w:val="18"/>
      </w:rPr>
      <w:t>Geotechnická kontrolní činnost</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E83452"/>
    <w:lvl w:ilvl="0">
      <w:start w:val="1"/>
      <w:numFmt w:val="decimal"/>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3C22"/>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470D3"/>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9E2"/>
    <w:rsid w:val="00236FBC"/>
    <w:rsid w:val="002378C0"/>
    <w:rsid w:val="00247D53"/>
    <w:rsid w:val="002639F6"/>
    <w:rsid w:val="00277D43"/>
    <w:rsid w:val="00287DE9"/>
    <w:rsid w:val="00290640"/>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05A5D"/>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27991"/>
    <w:rsid w:val="00432337"/>
    <w:rsid w:val="00432973"/>
    <w:rsid w:val="00443141"/>
    <w:rsid w:val="0045298B"/>
    <w:rsid w:val="004563CB"/>
    <w:rsid w:val="004573A5"/>
    <w:rsid w:val="00461ECF"/>
    <w:rsid w:val="00474E67"/>
    <w:rsid w:val="00475E60"/>
    <w:rsid w:val="0047646B"/>
    <w:rsid w:val="00476C8A"/>
    <w:rsid w:val="004775E4"/>
    <w:rsid w:val="00481EBA"/>
    <w:rsid w:val="00484646"/>
    <w:rsid w:val="00485A88"/>
    <w:rsid w:val="00485BC5"/>
    <w:rsid w:val="004867E9"/>
    <w:rsid w:val="00487EC4"/>
    <w:rsid w:val="00487F78"/>
    <w:rsid w:val="004A1BEC"/>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12CE"/>
    <w:rsid w:val="005F24D0"/>
    <w:rsid w:val="005F5455"/>
    <w:rsid w:val="005F6075"/>
    <w:rsid w:val="00600404"/>
    <w:rsid w:val="00601CB9"/>
    <w:rsid w:val="00602A56"/>
    <w:rsid w:val="00606F46"/>
    <w:rsid w:val="00607A29"/>
    <w:rsid w:val="00620727"/>
    <w:rsid w:val="00636E62"/>
    <w:rsid w:val="00652AFE"/>
    <w:rsid w:val="00657956"/>
    <w:rsid w:val="00660D00"/>
    <w:rsid w:val="006717A9"/>
    <w:rsid w:val="00671AEE"/>
    <w:rsid w:val="0067756C"/>
    <w:rsid w:val="00685D33"/>
    <w:rsid w:val="0069287D"/>
    <w:rsid w:val="00692B9C"/>
    <w:rsid w:val="00693AF5"/>
    <w:rsid w:val="006965AA"/>
    <w:rsid w:val="006A42E0"/>
    <w:rsid w:val="006A6CB1"/>
    <w:rsid w:val="006B4421"/>
    <w:rsid w:val="006B6885"/>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5F18"/>
    <w:rsid w:val="00757CD3"/>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B4E3E"/>
    <w:rsid w:val="007D25B2"/>
    <w:rsid w:val="007D74B1"/>
    <w:rsid w:val="007E02D6"/>
    <w:rsid w:val="007E5F8B"/>
    <w:rsid w:val="007F5403"/>
    <w:rsid w:val="0080052E"/>
    <w:rsid w:val="00807625"/>
    <w:rsid w:val="008100C2"/>
    <w:rsid w:val="008174B0"/>
    <w:rsid w:val="00831F43"/>
    <w:rsid w:val="00833A53"/>
    <w:rsid w:val="008365C6"/>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468"/>
    <w:rsid w:val="008975D3"/>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3891"/>
    <w:rsid w:val="00905F9A"/>
    <w:rsid w:val="00907887"/>
    <w:rsid w:val="00907DFA"/>
    <w:rsid w:val="0093765A"/>
    <w:rsid w:val="00937989"/>
    <w:rsid w:val="0094031D"/>
    <w:rsid w:val="00940D68"/>
    <w:rsid w:val="00943D8A"/>
    <w:rsid w:val="0094551F"/>
    <w:rsid w:val="00945CA3"/>
    <w:rsid w:val="009575D5"/>
    <w:rsid w:val="0096257C"/>
    <w:rsid w:val="009658B7"/>
    <w:rsid w:val="009667FC"/>
    <w:rsid w:val="00974976"/>
    <w:rsid w:val="00976790"/>
    <w:rsid w:val="00983284"/>
    <w:rsid w:val="00990E26"/>
    <w:rsid w:val="009934D0"/>
    <w:rsid w:val="00995CC3"/>
    <w:rsid w:val="009A3A77"/>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2933"/>
    <w:rsid w:val="00AD32D4"/>
    <w:rsid w:val="00AE0601"/>
    <w:rsid w:val="00AF31C7"/>
    <w:rsid w:val="00B13D05"/>
    <w:rsid w:val="00B1446E"/>
    <w:rsid w:val="00B22835"/>
    <w:rsid w:val="00B22BAD"/>
    <w:rsid w:val="00B22F73"/>
    <w:rsid w:val="00B23862"/>
    <w:rsid w:val="00B26586"/>
    <w:rsid w:val="00B2757D"/>
    <w:rsid w:val="00B33641"/>
    <w:rsid w:val="00B340BC"/>
    <w:rsid w:val="00B35412"/>
    <w:rsid w:val="00B509AE"/>
    <w:rsid w:val="00B51580"/>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5116"/>
    <w:rsid w:val="00CF613D"/>
    <w:rsid w:val="00CF6F8B"/>
    <w:rsid w:val="00D0038A"/>
    <w:rsid w:val="00D04517"/>
    <w:rsid w:val="00D27217"/>
    <w:rsid w:val="00D33984"/>
    <w:rsid w:val="00D35AF0"/>
    <w:rsid w:val="00D45857"/>
    <w:rsid w:val="00D47BAC"/>
    <w:rsid w:val="00D54FB6"/>
    <w:rsid w:val="00D56CE2"/>
    <w:rsid w:val="00D62606"/>
    <w:rsid w:val="00D71213"/>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D224F"/>
    <w:rsid w:val="00DE11D9"/>
    <w:rsid w:val="00DF3162"/>
    <w:rsid w:val="00E02411"/>
    <w:rsid w:val="00E1015E"/>
    <w:rsid w:val="00E11F62"/>
    <w:rsid w:val="00E21315"/>
    <w:rsid w:val="00E21861"/>
    <w:rsid w:val="00E236F6"/>
    <w:rsid w:val="00E24DCE"/>
    <w:rsid w:val="00E27C9B"/>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oukup@szdc.cz" TargetMode="Externa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1ED55-FBE7-40FD-919A-1C94F029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3440</Words>
  <Characters>20296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23689</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4</cp:revision>
  <cp:lastPrinted>2019-09-09T08:43:00Z</cp:lastPrinted>
  <dcterms:created xsi:type="dcterms:W3CDTF">2019-09-16T08:41:00Z</dcterms:created>
  <dcterms:modified xsi:type="dcterms:W3CDTF">2019-09-19T08:30:00Z</dcterms:modified>
</cp:coreProperties>
</file>